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spacing w:before="183" w:line="223" w:lineRule="auto"/>
        <w:ind w:firstLine="0" w:firstLineChars="0"/>
        <w:rPr>
          <w:sz w:val="28"/>
          <w:szCs w:val="28"/>
          <w:highlight w:val="none"/>
          <w:lang w:eastAsia="zh-CN"/>
        </w:rPr>
      </w:pPr>
      <w:r>
        <w:rPr>
          <w:spacing w:val="-10"/>
          <w:sz w:val="28"/>
          <w:szCs w:val="28"/>
          <w:highlight w:val="none"/>
          <w:lang w:eastAsia="zh-CN"/>
        </w:rPr>
        <w:t>附件</w:t>
      </w:r>
      <w:r>
        <w:rPr>
          <w:rFonts w:hint="eastAsia"/>
          <w:spacing w:val="-10"/>
          <w:sz w:val="28"/>
          <w:szCs w:val="28"/>
          <w:highlight w:val="none"/>
          <w:lang w:eastAsia="zh-CN"/>
        </w:rPr>
        <w:t>1</w:t>
      </w:r>
    </w:p>
    <w:p>
      <w:pPr>
        <w:shd w:val="clear"/>
        <w:spacing w:before="173" w:line="225" w:lineRule="auto"/>
        <w:jc w:val="center"/>
        <w:rPr>
          <w:rFonts w:ascii="黑体" w:hAnsi="黑体" w:eastAsia="黑体" w:cs="黑体"/>
          <w:sz w:val="31"/>
          <w:szCs w:val="31"/>
          <w:highlight w:val="none"/>
          <w:lang w:eastAsia="zh-CN"/>
        </w:rPr>
      </w:pPr>
      <w:bookmarkStart w:id="0" w:name="_Hlk165986000"/>
      <w:r>
        <w:rPr>
          <w:rFonts w:ascii="黑体" w:hAnsi="黑体" w:eastAsia="黑体" w:cs="黑体"/>
          <w:spacing w:val="10"/>
          <w:sz w:val="31"/>
          <w:szCs w:val="31"/>
          <w:highlight w:val="none"/>
          <w:lang w:eastAsia="zh-CN"/>
          <w14:textOutline w14:w="5791" w14:cap="sq" w14:cmpd="sng" w14:algn="ctr">
            <w14:solidFill>
              <w14:srgbClr w14:val="000000"/>
            </w14:solidFill>
            <w14:prstDash w14:val="solid"/>
            <w14:bevel/>
          </w14:textOutline>
        </w:rPr>
        <w:t>福州软件职业技术学院</w:t>
      </w:r>
      <w:r>
        <w:rPr>
          <w:rFonts w:hint="eastAsia" w:ascii="黑体" w:hAnsi="黑体" w:eastAsia="黑体" w:cs="黑体"/>
          <w:spacing w:val="10"/>
          <w:sz w:val="31"/>
          <w:szCs w:val="31"/>
          <w:highlight w:val="none"/>
          <w:lang w:eastAsia="zh-CN"/>
          <w14:textOutline w14:w="5791" w14:cap="sq" w14:cmpd="sng" w14:algn="ctr">
            <w14:solidFill>
              <w14:srgbClr w14:val="000000"/>
            </w14:solidFill>
            <w14:prstDash w14:val="solid"/>
            <w14:bevel/>
          </w14:textOutline>
        </w:rPr>
        <w:t>小雅教学平台</w:t>
      </w:r>
      <w:r>
        <w:rPr>
          <w:rFonts w:ascii="黑体" w:hAnsi="黑体" w:eastAsia="黑体" w:cs="黑体"/>
          <w:spacing w:val="10"/>
          <w:sz w:val="31"/>
          <w:szCs w:val="31"/>
          <w:highlight w:val="none"/>
          <w:lang w:eastAsia="zh-CN"/>
          <w14:textOutline w14:w="5791" w14:cap="sq" w14:cmpd="sng" w14:algn="ctr">
            <w14:solidFill>
              <w14:srgbClr w14:val="000000"/>
            </w14:solidFill>
            <w14:prstDash w14:val="solid"/>
            <w14:bevel/>
          </w14:textOutline>
        </w:rPr>
        <w:t>课程建设评价标准</w:t>
      </w:r>
      <w:bookmarkEnd w:id="0"/>
    </w:p>
    <w:p>
      <w:pPr>
        <w:shd w:val="clear"/>
        <w:spacing w:line="181" w:lineRule="exact"/>
        <w:rPr>
          <w:highlight w:val="none"/>
          <w:lang w:eastAsia="zh-CN"/>
        </w:rPr>
      </w:pPr>
    </w:p>
    <w:p>
      <w:pPr>
        <w:shd w:val="clear"/>
        <w:spacing w:line="181" w:lineRule="exact"/>
        <w:rPr>
          <w:highlight w:val="none"/>
          <w:lang w:eastAsia="zh-CN"/>
        </w:rPr>
        <w:sectPr>
          <w:footerReference r:id="rId5" w:type="default"/>
          <w:pgSz w:w="11906" w:h="16839"/>
          <w:pgMar w:top="1431" w:right="1028" w:bottom="0" w:left="1028" w:header="0" w:footer="0" w:gutter="0"/>
          <w:cols w:equalWidth="0" w:num="1">
            <w:col w:w="9850"/>
          </w:cols>
        </w:sectPr>
      </w:pPr>
    </w:p>
    <w:p>
      <w:pPr>
        <w:pStyle w:val="3"/>
        <w:shd w:val="clear"/>
        <w:spacing w:before="40" w:line="444" w:lineRule="exact"/>
        <w:ind w:left="29" w:firstLine="390"/>
        <w:rPr>
          <w:sz w:val="19"/>
          <w:szCs w:val="19"/>
          <w:highlight w:val="none"/>
          <w:lang w:eastAsia="zh-CN"/>
        </w:rPr>
      </w:pPr>
      <w:r>
        <w:rPr>
          <w:spacing w:val="5"/>
          <w:position w:val="19"/>
          <w:sz w:val="19"/>
          <w:szCs w:val="19"/>
          <w:highlight w:val="none"/>
          <w:lang w:eastAsia="zh-CN"/>
        </w:rPr>
        <w:t>课程名称：</w:t>
      </w:r>
    </w:p>
    <w:p>
      <w:pPr>
        <w:pStyle w:val="3"/>
        <w:shd w:val="clear"/>
        <w:spacing w:before="1" w:line="197" w:lineRule="auto"/>
        <w:ind w:left="29" w:firstLine="390"/>
        <w:rPr>
          <w:sz w:val="19"/>
          <w:szCs w:val="19"/>
          <w:highlight w:val="none"/>
          <w:lang w:eastAsia="zh-CN"/>
        </w:rPr>
      </w:pPr>
      <w:r>
        <w:rPr>
          <w:spacing w:val="5"/>
          <w:sz w:val="19"/>
          <w:szCs w:val="19"/>
          <w:highlight w:val="none"/>
          <w:lang w:eastAsia="zh-CN"/>
        </w:rPr>
        <w:t>课程性质：</w:t>
      </w:r>
    </w:p>
    <w:p>
      <w:pPr>
        <w:shd w:val="clear"/>
        <w:spacing w:line="14" w:lineRule="auto"/>
        <w:rPr>
          <w:sz w:val="2"/>
          <w:highlight w:val="none"/>
          <w:lang w:eastAsia="zh-CN"/>
        </w:rPr>
      </w:pPr>
      <w:r>
        <w:rPr>
          <w:rFonts w:eastAsia="Arial"/>
          <w:sz w:val="2"/>
          <w:szCs w:val="2"/>
          <w:highlight w:val="none"/>
          <w:lang w:eastAsia="zh-CN"/>
        </w:rPr>
        <w:br w:type="column"/>
      </w:r>
    </w:p>
    <w:p>
      <w:pPr>
        <w:pStyle w:val="3"/>
        <w:shd w:val="clear"/>
        <w:spacing w:before="39" w:line="444" w:lineRule="exact"/>
        <w:ind w:firstLine="390"/>
        <w:rPr>
          <w:sz w:val="19"/>
          <w:szCs w:val="19"/>
          <w:highlight w:val="none"/>
          <w:lang w:eastAsia="zh-CN"/>
        </w:rPr>
      </w:pPr>
      <w:r>
        <w:rPr>
          <w:spacing w:val="5"/>
          <w:position w:val="19"/>
          <w:sz w:val="19"/>
          <w:szCs w:val="19"/>
          <w:highlight w:val="none"/>
          <w:lang w:eastAsia="zh-CN"/>
        </w:rPr>
        <w:t>建课教师：</w:t>
      </w:r>
    </w:p>
    <w:p>
      <w:pPr>
        <w:pStyle w:val="3"/>
        <w:shd w:val="clear"/>
        <w:spacing w:before="1" w:line="197" w:lineRule="auto"/>
        <w:ind w:firstLine="390"/>
        <w:rPr>
          <w:sz w:val="19"/>
          <w:szCs w:val="19"/>
          <w:highlight w:val="none"/>
          <w:lang w:eastAsia="zh-CN"/>
        </w:rPr>
      </w:pPr>
      <w:r>
        <w:rPr>
          <w:spacing w:val="5"/>
          <w:sz w:val="19"/>
          <w:szCs w:val="19"/>
          <w:highlight w:val="none"/>
          <w:lang w:eastAsia="zh-CN"/>
        </w:rPr>
        <w:t>课程学分：</w:t>
      </w:r>
    </w:p>
    <w:p>
      <w:pPr>
        <w:shd w:val="clear"/>
        <w:spacing w:line="14" w:lineRule="auto"/>
        <w:rPr>
          <w:sz w:val="2"/>
          <w:highlight w:val="none"/>
          <w:lang w:eastAsia="zh-CN"/>
        </w:rPr>
      </w:pPr>
      <w:r>
        <w:rPr>
          <w:rFonts w:eastAsia="Arial"/>
          <w:sz w:val="2"/>
          <w:szCs w:val="2"/>
          <w:highlight w:val="none"/>
          <w:lang w:eastAsia="zh-CN"/>
        </w:rPr>
        <w:br w:type="column"/>
      </w:r>
    </w:p>
    <w:p>
      <w:pPr>
        <w:pStyle w:val="3"/>
        <w:shd w:val="clear"/>
        <w:spacing w:before="39" w:line="444" w:lineRule="exact"/>
        <w:ind w:firstLine="394"/>
        <w:rPr>
          <w:sz w:val="19"/>
          <w:szCs w:val="19"/>
          <w:highlight w:val="none"/>
          <w:lang w:eastAsia="zh-CN"/>
        </w:rPr>
      </w:pPr>
      <w:r>
        <w:rPr>
          <w:spacing w:val="7"/>
          <w:position w:val="19"/>
          <w:sz w:val="19"/>
          <w:szCs w:val="19"/>
          <w:highlight w:val="none"/>
          <w:lang w:eastAsia="zh-CN"/>
        </w:rPr>
        <w:t>课程所在教学单位：</w:t>
      </w:r>
    </w:p>
    <w:p>
      <w:pPr>
        <w:pStyle w:val="3"/>
        <w:shd w:val="clear"/>
        <w:spacing w:before="1" w:line="197" w:lineRule="auto"/>
        <w:ind w:firstLine="390"/>
        <w:rPr>
          <w:sz w:val="19"/>
          <w:szCs w:val="19"/>
          <w:highlight w:val="none"/>
          <w:lang w:eastAsia="zh-CN"/>
        </w:rPr>
      </w:pPr>
      <w:r>
        <w:rPr>
          <w:spacing w:val="5"/>
          <w:sz w:val="19"/>
          <w:szCs w:val="19"/>
          <w:highlight w:val="none"/>
          <w:lang w:eastAsia="zh-CN"/>
        </w:rPr>
        <w:t>课程学时：</w:t>
      </w:r>
    </w:p>
    <w:p>
      <w:pPr>
        <w:shd w:val="clear"/>
        <w:spacing w:line="197" w:lineRule="auto"/>
        <w:rPr>
          <w:sz w:val="19"/>
          <w:szCs w:val="19"/>
          <w:highlight w:val="none"/>
          <w:lang w:eastAsia="zh-CN"/>
        </w:rPr>
        <w:sectPr>
          <w:type w:val="continuous"/>
          <w:pgSz w:w="11906" w:h="16839"/>
          <w:pgMar w:top="1431" w:right="1028" w:bottom="0" w:left="1028" w:header="0" w:footer="0" w:gutter="0"/>
          <w:cols w:equalWidth="0" w:num="3">
            <w:col w:w="3330" w:space="100"/>
            <w:col w:w="2702" w:space="100"/>
            <w:col w:w="3619"/>
          </w:cols>
        </w:sectPr>
      </w:pPr>
    </w:p>
    <w:tbl>
      <w:tblPr>
        <w:tblStyle w:val="7"/>
        <w:tblW w:w="102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9"/>
        <w:gridCol w:w="1150"/>
        <w:gridCol w:w="6550"/>
        <w:gridCol w:w="77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9"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一级指标</w:t>
            </w: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二级指标</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观测点及要求</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分值</w:t>
            </w:r>
          </w:p>
        </w:tc>
        <w:tc>
          <w:tcPr>
            <w:tcW w:w="806"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snapToGrid w:val="0"/>
                <w:color w:val="000000"/>
                <w:kern w:val="0"/>
                <w:sz w:val="19"/>
                <w:szCs w:val="19"/>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1.</w:t>
            </w:r>
            <w:r>
              <w:rPr>
                <w:rFonts w:hint="eastAsia" w:ascii="仿宋" w:hAnsi="仿宋" w:eastAsia="仿宋" w:cs="仿宋"/>
                <w:i w:val="0"/>
                <w:iCs w:val="0"/>
                <w:snapToGrid w:val="0"/>
                <w:color w:val="000000"/>
                <w:kern w:val="0"/>
                <w:sz w:val="19"/>
                <w:szCs w:val="19"/>
                <w:u w:val="none"/>
                <w:lang w:val="en-US" w:eastAsia="zh-CN" w:bidi="ar"/>
              </w:rPr>
              <w:t>课程定位与目标</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1.1</w:t>
            </w:r>
            <w:r>
              <w:rPr>
                <w:rFonts w:hint="eastAsia" w:ascii="仿宋" w:hAnsi="仿宋" w:eastAsia="仿宋" w:cs="仿宋"/>
                <w:i w:val="0"/>
                <w:iCs w:val="0"/>
                <w:snapToGrid w:val="0"/>
                <w:color w:val="000000"/>
                <w:kern w:val="0"/>
                <w:sz w:val="19"/>
                <w:szCs w:val="19"/>
                <w:u w:val="none"/>
                <w:lang w:val="en-US" w:eastAsia="zh-CN" w:bidi="ar"/>
              </w:rPr>
              <w:t>课程定位</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1.落实立德树人根本任务，</w:t>
            </w:r>
            <w:r>
              <w:rPr>
                <w:rFonts w:hint="eastAsia" w:ascii="仿宋" w:hAnsi="仿宋" w:cs="仿宋"/>
                <w:i w:val="0"/>
                <w:iCs w:val="0"/>
                <w:snapToGrid w:val="0"/>
                <w:color w:val="000000"/>
                <w:kern w:val="0"/>
                <w:sz w:val="19"/>
                <w:szCs w:val="19"/>
                <w:u w:val="none"/>
                <w:lang w:val="en-US" w:eastAsia="zh-CN" w:bidi="ar"/>
              </w:rPr>
              <w:t>适应新时代对高素质技术技能人才培养的新要求符合教育部颁布的公共课、基础课教学标准，专业教学标准，实训教学条件建设标准，岗位实习标准等有关要求。涉及职业技能等级证书、职业技能竞赛的课程教学内容，还应对接有关职业技能等级，职业技能培育，学生职业道德，职业能力、信息素养、竞赛标准。</w:t>
            </w:r>
            <w:r>
              <w:rPr>
                <w:rFonts w:hint="eastAsia" w:ascii="仿宋" w:hAnsi="仿宋" w:eastAsia="仿宋" w:cs="仿宋"/>
                <w:i w:val="0"/>
                <w:iCs w:val="0"/>
                <w:snapToGrid w:val="0"/>
                <w:color w:val="000000"/>
                <w:kern w:val="0"/>
                <w:sz w:val="19"/>
                <w:szCs w:val="19"/>
                <w:u w:val="none"/>
                <w:lang w:val="en-US" w:eastAsia="zh-CN" w:bidi="ar"/>
              </w:rPr>
              <w:t>课程性质明确，与前、后接续课程衔接得当。</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2.课程目标</w:t>
            </w:r>
            <w:r>
              <w:rPr>
                <w:rFonts w:hint="eastAsia" w:ascii="仿宋" w:hAnsi="仿宋" w:cs="仿宋"/>
                <w:i w:val="0"/>
                <w:iCs w:val="0"/>
                <w:snapToGrid w:val="0"/>
                <w:color w:val="000000"/>
                <w:kern w:val="0"/>
                <w:sz w:val="19"/>
                <w:szCs w:val="19"/>
                <w:u w:val="none"/>
                <w:lang w:val="en-US" w:eastAsia="zh-CN" w:bidi="ar"/>
              </w:rPr>
              <w:t>表述准确，相互关联，重点突出</w:t>
            </w:r>
            <w:r>
              <w:rPr>
                <w:rFonts w:hint="eastAsia" w:ascii="仿宋" w:hAnsi="仿宋" w:eastAsia="仿宋" w:cs="仿宋"/>
                <w:i w:val="0"/>
                <w:iCs w:val="0"/>
                <w:snapToGrid w:val="0"/>
                <w:color w:val="000000"/>
                <w:kern w:val="0"/>
                <w:sz w:val="19"/>
                <w:szCs w:val="19"/>
                <w:u w:val="none"/>
                <w:lang w:val="en-US" w:eastAsia="zh-CN" w:bidi="ar"/>
              </w:rPr>
              <w:t>。</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1.2</w:t>
            </w:r>
            <w:r>
              <w:rPr>
                <w:rFonts w:hint="eastAsia" w:ascii="仿宋" w:hAnsi="仿宋" w:eastAsia="仿宋" w:cs="仿宋"/>
                <w:i w:val="0"/>
                <w:iCs w:val="0"/>
                <w:snapToGrid w:val="0"/>
                <w:color w:val="000000"/>
                <w:kern w:val="0"/>
                <w:sz w:val="19"/>
                <w:szCs w:val="19"/>
                <w:u w:val="none"/>
                <w:lang w:val="en-US" w:eastAsia="zh-CN" w:bidi="ar"/>
              </w:rPr>
              <w:t>课程目标</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公共基础课程注重</w:t>
            </w:r>
            <w:r>
              <w:rPr>
                <w:rFonts w:hint="eastAsia" w:ascii="仿宋" w:hAnsi="仿宋" w:cs="仿宋"/>
                <w:i w:val="0"/>
                <w:iCs w:val="0"/>
                <w:snapToGrid w:val="0"/>
                <w:color w:val="000000"/>
                <w:kern w:val="0"/>
                <w:sz w:val="19"/>
                <w:szCs w:val="19"/>
                <w:u w:val="none"/>
                <w:lang w:val="en-US" w:eastAsia="zh-CN" w:bidi="ar"/>
              </w:rPr>
              <w:t>夯实学生科学文化基础，着力培养学生人文素养、职业素养、信息素养，培养学生工匠精神、科学精神、创新精神和终身学习能力</w:t>
            </w:r>
            <w:r>
              <w:rPr>
                <w:rFonts w:hint="eastAsia" w:ascii="仿宋" w:hAnsi="仿宋" w:eastAsia="仿宋" w:cs="仿宋"/>
                <w:i w:val="0"/>
                <w:iCs w:val="0"/>
                <w:snapToGrid w:val="0"/>
                <w:color w:val="000000"/>
                <w:kern w:val="0"/>
                <w:sz w:val="19"/>
                <w:szCs w:val="19"/>
                <w:u w:val="none"/>
                <w:lang w:val="en-US" w:eastAsia="zh-CN" w:bidi="ar"/>
              </w:rPr>
              <w:t>；专业（技能）课程</w:t>
            </w:r>
            <w:r>
              <w:rPr>
                <w:rFonts w:hint="eastAsia" w:ascii="仿宋" w:hAnsi="仿宋" w:cs="仿宋"/>
                <w:i w:val="0"/>
                <w:iCs w:val="0"/>
                <w:snapToGrid w:val="0"/>
                <w:color w:val="000000"/>
                <w:kern w:val="0"/>
                <w:sz w:val="19"/>
                <w:szCs w:val="19"/>
                <w:u w:val="none"/>
                <w:lang w:val="en-US" w:eastAsia="zh-CN" w:bidi="ar"/>
              </w:rPr>
              <w:t>注重夯实学生专业基础和专业能力、创新能力、工程思维，培养学生科学精神、工匠精神和终身学习能力</w:t>
            </w:r>
            <w:r>
              <w:rPr>
                <w:rFonts w:hint="eastAsia" w:ascii="仿宋" w:hAnsi="仿宋" w:eastAsia="仿宋" w:cs="仿宋"/>
                <w:i w:val="0"/>
                <w:iCs w:val="0"/>
                <w:snapToGrid w:val="0"/>
                <w:color w:val="000000"/>
                <w:kern w:val="0"/>
                <w:sz w:val="19"/>
                <w:szCs w:val="19"/>
                <w:u w:val="none"/>
                <w:lang w:val="en-US" w:eastAsia="zh-CN" w:bidi="ar"/>
              </w:rPr>
              <w:t>。</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shd w:val="clear" w:color="auto" w:fill="auto"/>
            <w:vAlign w:val="center"/>
          </w:tcPr>
          <w:p>
            <w:pPr>
              <w:keepNext w:val="0"/>
              <w:keepLines w:val="0"/>
              <w:pageBreakBefore w:val="0"/>
              <w:widowControl/>
              <w:wordWrap/>
              <w:overflowPunct/>
              <w:topLinePunct w:val="0"/>
              <w:bidi w:val="0"/>
              <w:spacing w:line="240" w:lineRule="auto"/>
              <w:jc w:val="both"/>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2.</w:t>
            </w:r>
            <w:r>
              <w:rPr>
                <w:rFonts w:hint="eastAsia" w:ascii="仿宋" w:hAnsi="仿宋" w:eastAsia="仿宋" w:cs="仿宋"/>
                <w:i w:val="0"/>
                <w:iCs w:val="0"/>
                <w:snapToGrid w:val="0"/>
                <w:color w:val="000000"/>
                <w:kern w:val="0"/>
                <w:sz w:val="19"/>
                <w:szCs w:val="19"/>
                <w:u w:val="none"/>
                <w:lang w:val="en-US" w:eastAsia="zh-CN" w:bidi="ar"/>
              </w:rPr>
              <w:t>课程内容设置与学时安排</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2.1</w:t>
            </w:r>
            <w:r>
              <w:rPr>
                <w:rFonts w:hint="eastAsia" w:ascii="仿宋" w:hAnsi="仿宋" w:eastAsia="仿宋" w:cs="仿宋"/>
                <w:i w:val="0"/>
                <w:iCs w:val="0"/>
                <w:snapToGrid w:val="0"/>
                <w:color w:val="000000"/>
                <w:kern w:val="0"/>
                <w:sz w:val="19"/>
                <w:szCs w:val="19"/>
                <w:u w:val="none"/>
                <w:lang w:val="en-US" w:eastAsia="zh-CN" w:bidi="ar"/>
              </w:rPr>
              <w:t>课程内容设置</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课程内容组织与安排凸显职业教育类型特征，公共基础课程内容及时反映新知识，体现行业（或职业）应用场景的融合；专业（技能）课程对接新产业、新业态、新模式、新职业，反映相关领域新方法、新技术、新工艺、新标准，体现行业企业参与特征，紧贴本专业相关技术领域职业岗位（群）的能力要求。</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10</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2.落实课程思政要求，结合不同课程特点、思维方法和价值理念，挖掘课程思政元素，有机融入课程教学。</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3.以项目为单位设计知识点，应用平台教学设计支架工具编写完备教案，课程知识点对应完整。</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4.按项目划分课程内容，体现出每项目的主题、重点、难点。理论内容符合课程标准的要求；</w:t>
            </w:r>
            <w:r>
              <w:rPr>
                <w:rFonts w:hint="eastAsia" w:ascii="仿宋" w:hAnsi="仿宋" w:cs="仿宋"/>
                <w:i w:val="0"/>
                <w:iCs w:val="0"/>
                <w:snapToGrid w:val="0"/>
                <w:color w:val="000000"/>
                <w:kern w:val="0"/>
                <w:sz w:val="19"/>
                <w:szCs w:val="19"/>
                <w:u w:val="none"/>
                <w:lang w:val="en-US" w:eastAsia="zh-CN" w:bidi="ar"/>
              </w:rPr>
              <w:t>实训</w:t>
            </w:r>
            <w:r>
              <w:rPr>
                <w:rFonts w:hint="eastAsia" w:ascii="仿宋" w:hAnsi="仿宋" w:eastAsia="仿宋" w:cs="仿宋"/>
                <w:i w:val="0"/>
                <w:iCs w:val="0"/>
                <w:snapToGrid w:val="0"/>
                <w:color w:val="000000"/>
                <w:kern w:val="0"/>
                <w:sz w:val="19"/>
                <w:szCs w:val="19"/>
                <w:u w:val="none"/>
                <w:lang w:val="en-US" w:eastAsia="zh-CN" w:bidi="ar"/>
              </w:rPr>
              <w:t>内容符合</w:t>
            </w:r>
            <w:r>
              <w:rPr>
                <w:rFonts w:hint="eastAsia" w:ascii="仿宋" w:hAnsi="仿宋" w:cs="仿宋"/>
                <w:i w:val="0"/>
                <w:iCs w:val="0"/>
                <w:snapToGrid w:val="0"/>
                <w:color w:val="000000"/>
                <w:kern w:val="0"/>
                <w:sz w:val="19"/>
                <w:szCs w:val="19"/>
                <w:u w:val="none"/>
                <w:lang w:val="en-US" w:eastAsia="zh-CN" w:bidi="ar"/>
              </w:rPr>
              <w:t>实训</w:t>
            </w:r>
            <w:r>
              <w:rPr>
                <w:rFonts w:hint="eastAsia" w:ascii="仿宋" w:hAnsi="仿宋" w:eastAsia="仿宋" w:cs="仿宋"/>
                <w:i w:val="0"/>
                <w:iCs w:val="0"/>
                <w:snapToGrid w:val="0"/>
                <w:color w:val="000000"/>
                <w:kern w:val="0"/>
                <w:sz w:val="19"/>
                <w:szCs w:val="19"/>
                <w:u w:val="none"/>
                <w:lang w:val="en-US" w:eastAsia="zh-CN" w:bidi="ar"/>
              </w:rPr>
              <w:t>指导，综合性、设计性、创新性结合得当，有利于培养学生分析问题和解决问题的能力。</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2.2</w:t>
            </w:r>
            <w:r>
              <w:rPr>
                <w:rFonts w:hint="eastAsia" w:ascii="仿宋" w:hAnsi="仿宋" w:eastAsia="仿宋" w:cs="仿宋"/>
                <w:i w:val="0"/>
                <w:iCs w:val="0"/>
                <w:snapToGrid w:val="0"/>
                <w:color w:val="000000"/>
                <w:kern w:val="0"/>
                <w:sz w:val="19"/>
                <w:szCs w:val="19"/>
                <w:u w:val="none"/>
                <w:lang w:val="en-US" w:eastAsia="zh-CN" w:bidi="ar"/>
              </w:rPr>
              <w:t>学时安排</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1.围绕学习任务，细化具体教学目标，合理把握教学进度、组织具体教学。</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2.课程内容完整、结构合理、逻辑清晰。学习单元划分合理、衔接有序、教学学时分配合理。</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w:t>
            </w:r>
            <w:r>
              <w:rPr>
                <w:rFonts w:hint="eastAsia" w:ascii="仿宋" w:hAnsi="仿宋" w:eastAsia="仿宋" w:cs="仿宋"/>
                <w:i w:val="0"/>
                <w:iCs w:val="0"/>
                <w:snapToGrid w:val="0"/>
                <w:color w:val="000000"/>
                <w:kern w:val="0"/>
                <w:sz w:val="19"/>
                <w:szCs w:val="19"/>
                <w:u w:val="none"/>
                <w:lang w:val="en-US" w:eastAsia="zh-CN" w:bidi="ar"/>
              </w:rPr>
              <w:t>课程设计</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3.1</w:t>
            </w:r>
            <w:r>
              <w:rPr>
                <w:rFonts w:hint="eastAsia" w:ascii="仿宋" w:hAnsi="仿宋" w:eastAsia="仿宋" w:cs="仿宋"/>
                <w:i w:val="0"/>
                <w:iCs w:val="0"/>
                <w:snapToGrid w:val="0"/>
                <w:color w:val="000000"/>
                <w:kern w:val="0"/>
                <w:sz w:val="19"/>
                <w:szCs w:val="19"/>
                <w:u w:val="none"/>
                <w:lang w:val="en-US" w:eastAsia="zh-CN" w:bidi="ar"/>
              </w:rPr>
              <w:t>学情分析</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1.主动使用平台学生学情分析工具，善于应用各类排行榜工具、课程任务完成率分析工具、学习时长分析工具、签到分析工具、课程表现分析工具、评价活动分析工具。</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8</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2.学生学情良好，课程任务完成率高，学习时长达标，课堂表现活跃，评价活动得分较好。</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3.2</w:t>
            </w:r>
            <w:r>
              <w:rPr>
                <w:rFonts w:hint="eastAsia" w:ascii="仿宋" w:hAnsi="仿宋" w:eastAsia="仿宋" w:cs="仿宋"/>
                <w:i w:val="0"/>
                <w:iCs w:val="0"/>
                <w:snapToGrid w:val="0"/>
                <w:color w:val="000000"/>
                <w:kern w:val="0"/>
                <w:sz w:val="19"/>
                <w:szCs w:val="19"/>
                <w:u w:val="none"/>
                <w:lang w:val="en-US" w:eastAsia="zh-CN" w:bidi="ar"/>
              </w:rPr>
              <w:t>教学方法</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教学设计科学，恰当进行课程导入，课程重点难点教学准确全面，方法恰当，合理使用项目式、案例式、探究式、协作</w:t>
            </w:r>
            <w:r>
              <w:rPr>
                <w:rFonts w:hint="eastAsia" w:ascii="仿宋" w:hAnsi="仿宋" w:cs="仿宋"/>
                <w:i w:val="0"/>
                <w:iCs w:val="0"/>
                <w:snapToGrid w:val="0"/>
                <w:color w:val="000000"/>
                <w:kern w:val="0"/>
                <w:sz w:val="19"/>
                <w:szCs w:val="19"/>
                <w:u w:val="none"/>
                <w:lang w:val="en-US" w:eastAsia="zh-CN" w:bidi="ar"/>
              </w:rPr>
              <w:t>式</w:t>
            </w:r>
            <w:r>
              <w:rPr>
                <w:rFonts w:hint="eastAsia" w:ascii="仿宋" w:hAnsi="仿宋" w:eastAsia="仿宋" w:cs="仿宋"/>
                <w:i w:val="0"/>
                <w:iCs w:val="0"/>
                <w:snapToGrid w:val="0"/>
                <w:color w:val="000000"/>
                <w:kern w:val="0"/>
                <w:sz w:val="19"/>
                <w:szCs w:val="19"/>
                <w:u w:val="none"/>
                <w:lang w:val="en-US" w:eastAsia="zh-CN" w:bidi="ar"/>
              </w:rPr>
              <w:t>等多种教学方法。</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shd w:val="clear" w:color="auto" w:fill="auto"/>
            <w:vAlign w:val="center"/>
          </w:tcPr>
          <w:p>
            <w:pPr>
              <w:keepNext w:val="0"/>
              <w:keepLines w:val="0"/>
              <w:pageBreakBefore w:val="0"/>
              <w:widowControl/>
              <w:wordWrap/>
              <w:overflowPunct/>
              <w:topLinePunct w:val="0"/>
              <w:bidi w:val="0"/>
              <w:spacing w:line="240" w:lineRule="auto"/>
              <w:jc w:val="both"/>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3.3</w:t>
            </w:r>
            <w:r>
              <w:rPr>
                <w:rFonts w:hint="eastAsia" w:ascii="仿宋" w:hAnsi="仿宋" w:eastAsia="仿宋" w:cs="仿宋"/>
                <w:i w:val="0"/>
                <w:iCs w:val="0"/>
                <w:snapToGrid w:val="0"/>
                <w:color w:val="000000"/>
                <w:kern w:val="0"/>
                <w:sz w:val="19"/>
                <w:szCs w:val="19"/>
                <w:u w:val="none"/>
                <w:lang w:val="en-US" w:eastAsia="zh-CN" w:bidi="ar"/>
              </w:rPr>
              <w:t>教学手段</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1.能有效应用教学增强工具，强化教学效果。使用知识点工具构建课程知识地图，善于应用教学活动标签，有效发起各类评价活动，提升课堂师生互动氛围。</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10</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2.能有效应用课堂活动与表现工具。课堂活动轨迹丰富多样，体现任务引领、学习探究、课堂交互等丰富多样教学实施过程、课堂活动管理良好。每节课组织签到，应用签到工具开展课堂学生考勤管理。</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3.能有效应用教学回顾工具。课后及时提交教学反思，定期回顾往期课程，自我总结经验，不断完善教学。</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3.4</w:t>
            </w:r>
            <w:r>
              <w:rPr>
                <w:rFonts w:hint="eastAsia" w:ascii="仿宋" w:hAnsi="仿宋" w:eastAsia="仿宋" w:cs="仿宋"/>
                <w:i w:val="0"/>
                <w:iCs w:val="0"/>
                <w:snapToGrid w:val="0"/>
                <w:color w:val="000000"/>
                <w:kern w:val="0"/>
                <w:sz w:val="19"/>
                <w:szCs w:val="19"/>
                <w:u w:val="none"/>
                <w:lang w:val="en-US" w:eastAsia="zh-CN" w:bidi="ar"/>
              </w:rPr>
              <w:t>考核评价</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1.科学有效设置课程总评成绩量规表，总评成绩构成多元，避免以应试为导向的评价模式，主动开启学习过程预警。</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7</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2.善于应用平台大数据采集分析功能，全程跟踪教师的教学和学生学习过程，形成教与学的正向反馈。</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3.5</w:t>
            </w:r>
            <w:r>
              <w:rPr>
                <w:rFonts w:hint="eastAsia" w:ascii="仿宋" w:hAnsi="仿宋" w:eastAsia="仿宋" w:cs="仿宋"/>
                <w:i w:val="0"/>
                <w:iCs w:val="0"/>
                <w:snapToGrid w:val="0"/>
                <w:color w:val="000000"/>
                <w:kern w:val="0"/>
                <w:sz w:val="19"/>
                <w:szCs w:val="19"/>
                <w:u w:val="none"/>
                <w:lang w:val="en-US" w:eastAsia="zh-CN" w:bidi="ar"/>
              </w:rPr>
              <w:t>课程评价</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课程建设过程中，不断完善课程考核评价机制，有效反思课程建设经验，及时修正不足，教学诊断改进积极有效。</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w:t>
            </w:r>
          </w:p>
        </w:tc>
        <w:tc>
          <w:tcPr>
            <w:tcW w:w="806" w:type="dxa"/>
            <w:shd w:val="clear" w:color="auto" w:fill="auto"/>
            <w:vAlign w:val="center"/>
          </w:tcPr>
          <w:p>
            <w:pPr>
              <w:keepNext w:val="0"/>
              <w:keepLines w:val="0"/>
              <w:pageBreakBefore w:val="0"/>
              <w:widowControl/>
              <w:wordWrap/>
              <w:overflowPunct/>
              <w:topLinePunct w:val="0"/>
              <w:bidi w:val="0"/>
              <w:spacing w:line="240" w:lineRule="auto"/>
              <w:jc w:val="both"/>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4.</w:t>
            </w:r>
            <w:r>
              <w:rPr>
                <w:rFonts w:hint="eastAsia" w:ascii="仿宋" w:hAnsi="仿宋" w:eastAsia="仿宋" w:cs="仿宋"/>
                <w:i w:val="0"/>
                <w:iCs w:val="0"/>
                <w:snapToGrid w:val="0"/>
                <w:color w:val="000000"/>
                <w:kern w:val="0"/>
                <w:sz w:val="19"/>
                <w:szCs w:val="19"/>
                <w:u w:val="none"/>
                <w:lang w:val="en-US" w:eastAsia="zh-CN" w:bidi="ar"/>
              </w:rPr>
              <w:t>课程实施规范</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4.1</w:t>
            </w:r>
            <w:r>
              <w:rPr>
                <w:rFonts w:hint="eastAsia" w:ascii="仿宋" w:hAnsi="仿宋" w:eastAsia="仿宋" w:cs="仿宋"/>
                <w:i w:val="0"/>
                <w:iCs w:val="0"/>
                <w:snapToGrid w:val="0"/>
                <w:color w:val="000000"/>
                <w:kern w:val="0"/>
                <w:sz w:val="19"/>
                <w:szCs w:val="19"/>
                <w:u w:val="none"/>
                <w:lang w:val="en-US" w:eastAsia="zh-CN" w:bidi="ar"/>
              </w:rPr>
              <w:t>基本信息与规范</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1.课程空间信息设置完整。课程简介、结课设置、教师简介、课程</w:t>
            </w:r>
            <w:r>
              <w:rPr>
                <w:rFonts w:hint="eastAsia" w:ascii="仿宋" w:hAnsi="仿宋" w:cs="仿宋"/>
                <w:i w:val="0"/>
                <w:iCs w:val="0"/>
                <w:snapToGrid w:val="0"/>
                <w:color w:val="000000"/>
                <w:kern w:val="0"/>
                <w:sz w:val="19"/>
                <w:szCs w:val="19"/>
                <w:u w:val="none"/>
                <w:lang w:val="en-US" w:eastAsia="zh-CN" w:bidi="ar"/>
              </w:rPr>
              <w:t>标准</w:t>
            </w:r>
            <w:r>
              <w:rPr>
                <w:rFonts w:hint="eastAsia" w:ascii="仿宋" w:hAnsi="仿宋" w:eastAsia="仿宋" w:cs="仿宋"/>
                <w:i w:val="0"/>
                <w:iCs w:val="0"/>
                <w:snapToGrid w:val="0"/>
                <w:color w:val="000000"/>
                <w:kern w:val="0"/>
                <w:sz w:val="19"/>
                <w:szCs w:val="19"/>
                <w:u w:val="none"/>
                <w:lang w:val="en-US" w:eastAsia="zh-CN" w:bidi="ar"/>
              </w:rPr>
              <w:t>、教学计划、考核方式等信息设置完备。</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2.语言文字、图片、地图等使用符合相关规定。</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4.2</w:t>
            </w:r>
            <w:r>
              <w:rPr>
                <w:rFonts w:hint="eastAsia" w:ascii="仿宋" w:hAnsi="仿宋" w:eastAsia="仿宋" w:cs="仿宋"/>
                <w:i w:val="0"/>
                <w:iCs w:val="0"/>
                <w:snapToGrid w:val="0"/>
                <w:color w:val="000000"/>
                <w:kern w:val="0"/>
                <w:sz w:val="19"/>
                <w:szCs w:val="19"/>
                <w:u w:val="none"/>
                <w:lang w:val="en-US" w:eastAsia="zh-CN" w:bidi="ar"/>
              </w:rPr>
              <w:t>教学过程与活动</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1.充分应用小雅平台特性和数字教育资源不断创新教学模式，教学过程突出学生中心，突显</w:t>
            </w:r>
            <w:r>
              <w:rPr>
                <w:rFonts w:hint="eastAsia" w:ascii="仿宋" w:hAnsi="仿宋" w:cs="仿宋"/>
                <w:i w:val="0"/>
                <w:iCs w:val="0"/>
                <w:snapToGrid w:val="0"/>
                <w:color w:val="000000"/>
                <w:kern w:val="0"/>
                <w:sz w:val="19"/>
                <w:szCs w:val="19"/>
                <w:u w:val="none"/>
                <w:lang w:val="en-US" w:eastAsia="zh-CN" w:bidi="ar"/>
              </w:rPr>
              <w:t>AI赋能</w:t>
            </w:r>
            <w:r>
              <w:rPr>
                <w:rFonts w:hint="eastAsia" w:ascii="仿宋" w:hAnsi="仿宋" w:eastAsia="仿宋" w:cs="仿宋"/>
                <w:i w:val="0"/>
                <w:iCs w:val="0"/>
                <w:snapToGrid w:val="0"/>
                <w:color w:val="000000"/>
                <w:kern w:val="0"/>
                <w:sz w:val="19"/>
                <w:szCs w:val="19"/>
                <w:u w:val="none"/>
                <w:lang w:val="en-US" w:eastAsia="zh-CN" w:bidi="ar"/>
              </w:rPr>
              <w:t>混合式教学新常态，体现行动导向教学，能够激发学生学习兴趣和潜能。</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8</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2.各项教学活动完整、有效，教学过程可回溯，应用平台关注教与学全过程的信息采集，教学过程材料完整。</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3.及时发布课堂练习、测验等各项任务，任务量分布得当，难度适中。学生在平台提交作业，教师在平台对作业及时进行批改，作业任务结束后，任课教师及时公开示范答卷。</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4.3</w:t>
            </w:r>
            <w:r>
              <w:rPr>
                <w:rFonts w:hint="eastAsia" w:ascii="仿宋" w:hAnsi="仿宋" w:eastAsia="仿宋" w:cs="仿宋"/>
                <w:i w:val="0"/>
                <w:iCs w:val="0"/>
                <w:snapToGrid w:val="0"/>
                <w:color w:val="000000"/>
                <w:kern w:val="0"/>
                <w:sz w:val="19"/>
                <w:szCs w:val="19"/>
                <w:u w:val="none"/>
                <w:lang w:val="en-US" w:eastAsia="zh-CN" w:bidi="ar"/>
              </w:rPr>
              <w:t>课程画像</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1.主动使用课程画像工具，善于应用课程看板、课堂分析、班级画像、成员画像等平台大数据可视化工具，分析课程教学质量和学生学习绩效。</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10</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2.课程备课、课堂授课、学生参与等课程看板数据呈现高频、丰富态势。</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3.班级任务完成度、课堂互动参与次数、多维度课程任务完成度等班级画像数据丰度多样。</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4.成员任务完成度、课堂互动参与次数、多维度课程任务完成度、小组完成情况等成员画像数据良好。</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5.</w:t>
            </w:r>
            <w:r>
              <w:rPr>
                <w:rFonts w:hint="eastAsia" w:ascii="仿宋" w:hAnsi="仿宋" w:eastAsia="仿宋" w:cs="仿宋"/>
                <w:i w:val="0"/>
                <w:iCs w:val="0"/>
                <w:snapToGrid w:val="0"/>
                <w:color w:val="000000"/>
                <w:kern w:val="0"/>
                <w:sz w:val="19"/>
                <w:szCs w:val="19"/>
                <w:u w:val="none"/>
                <w:lang w:val="en-US" w:eastAsia="zh-CN" w:bidi="ar"/>
              </w:rPr>
              <w:t>课程实施保障</w:t>
            </w: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5.1</w:t>
            </w:r>
            <w:r>
              <w:rPr>
                <w:rFonts w:hint="eastAsia" w:ascii="仿宋" w:hAnsi="仿宋" w:eastAsia="仿宋" w:cs="仿宋"/>
                <w:i w:val="0"/>
                <w:iCs w:val="0"/>
                <w:snapToGrid w:val="0"/>
                <w:color w:val="000000"/>
                <w:kern w:val="0"/>
                <w:sz w:val="19"/>
                <w:szCs w:val="19"/>
                <w:u w:val="none"/>
                <w:lang w:val="en-US" w:eastAsia="zh-CN" w:bidi="ar"/>
              </w:rPr>
              <w:t>教学团队</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1.教学团队人数、职称结构、学历结构、年龄结构合理。</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8</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2.课程负责人师德师风优良，教学经验丰富、专业功底扎实。</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3.教学表现力和亲和力强，教学成果积累丰富，教学改革意识强，数字素养高。</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4.教师具有较强的数字化教学能力，教学团队配合默契，带动其他教育教学改革取得实质性成果。</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5.教师教学过程中教仪教态自然大方，语言表达清晰、深入浅出，注重教学互动、激发学生学习主动性、积极性。</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5.2</w:t>
            </w:r>
            <w:r>
              <w:rPr>
                <w:rFonts w:hint="eastAsia" w:ascii="仿宋" w:hAnsi="仿宋" w:eastAsia="仿宋" w:cs="仿宋"/>
                <w:i w:val="0"/>
                <w:iCs w:val="0"/>
                <w:snapToGrid w:val="0"/>
                <w:color w:val="000000"/>
                <w:kern w:val="0"/>
                <w:sz w:val="19"/>
                <w:szCs w:val="19"/>
                <w:u w:val="none"/>
                <w:lang w:val="en-US" w:eastAsia="zh-CN" w:bidi="ar"/>
              </w:rPr>
              <w:t>教学资源</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1.课程资源与课程内容相匹配、全覆盖，内在逻辑合理、内容完整精炼，能够满足学校教学和学生学习需求，做到能学辅教；体现课程思政建设要求，体现行业发展的前沿技术和最新成果。</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6</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2.课程内容丰富、形式多样、质量精良、符合大众审美，针对各课时知识点或技能点设置对应的授课视频、图片、文档、动画、虚拟仿真、演示文稿等资源和测验、作业、讨论、问卷等教学活动。</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5.3</w:t>
            </w:r>
            <w:r>
              <w:rPr>
                <w:rFonts w:hint="eastAsia" w:ascii="仿宋" w:hAnsi="仿宋" w:eastAsia="仿宋" w:cs="仿宋"/>
                <w:i w:val="0"/>
                <w:iCs w:val="0"/>
                <w:snapToGrid w:val="0"/>
                <w:color w:val="000000"/>
                <w:kern w:val="0"/>
                <w:sz w:val="19"/>
                <w:szCs w:val="19"/>
                <w:u w:val="none"/>
                <w:lang w:val="en-US" w:eastAsia="zh-CN" w:bidi="ar"/>
              </w:rPr>
              <w:t>教材建设</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1.选用优质教材，明确介绍课程选用教材名称、主编、出版社及版本；列出相关参考教材名称、主编、出版社及版本等。</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4</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2.有自编教材和出版教材的，上传电子教材主要内容。</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09"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6.</w:t>
            </w:r>
            <w:r>
              <w:rPr>
                <w:rFonts w:hint="eastAsia" w:ascii="仿宋" w:hAnsi="仿宋" w:eastAsia="仿宋" w:cs="仿宋"/>
                <w:i w:val="0"/>
                <w:iCs w:val="0"/>
                <w:snapToGrid w:val="0"/>
                <w:color w:val="000000"/>
                <w:kern w:val="0"/>
                <w:sz w:val="19"/>
                <w:szCs w:val="19"/>
                <w:u w:val="none"/>
                <w:lang w:val="en-US" w:eastAsia="zh-CN" w:bidi="ar"/>
              </w:rPr>
              <w:t>课程建设成效目标</w:t>
            </w: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6.1</w:t>
            </w:r>
            <w:r>
              <w:rPr>
                <w:rFonts w:hint="eastAsia" w:ascii="仿宋" w:hAnsi="仿宋" w:eastAsia="仿宋" w:cs="仿宋"/>
                <w:i w:val="0"/>
                <w:iCs w:val="0"/>
                <w:snapToGrid w:val="0"/>
                <w:color w:val="000000"/>
                <w:kern w:val="0"/>
                <w:sz w:val="19"/>
                <w:szCs w:val="19"/>
                <w:u w:val="none"/>
                <w:lang w:val="en-US" w:eastAsia="zh-CN" w:bidi="ar"/>
              </w:rPr>
              <w:t>教学改革成效</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在教学和课程改革方面与同类课程相比优势明显，具有推广价值。</w:t>
            </w:r>
          </w:p>
        </w:tc>
        <w:tc>
          <w:tcPr>
            <w:tcW w:w="775" w:type="dxa"/>
            <w:vMerge w:val="restart"/>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w:t>
            </w:r>
          </w:p>
        </w:tc>
        <w:tc>
          <w:tcPr>
            <w:tcW w:w="806" w:type="dxa"/>
            <w:vMerge w:val="restart"/>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9"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6.2</w:t>
            </w:r>
            <w:r>
              <w:rPr>
                <w:rFonts w:hint="eastAsia" w:ascii="仿宋" w:hAnsi="仿宋" w:eastAsia="仿宋" w:cs="仿宋"/>
                <w:i w:val="0"/>
                <w:iCs w:val="0"/>
                <w:snapToGrid w:val="0"/>
                <w:color w:val="000000"/>
                <w:kern w:val="0"/>
                <w:sz w:val="19"/>
                <w:szCs w:val="19"/>
                <w:u w:val="none"/>
                <w:lang w:val="en-US" w:eastAsia="zh-CN" w:bidi="ar"/>
              </w:rPr>
              <w:t>课程应用成效</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可供其他院系教师教学引用，用户使用活跃度高，应用效果良好。</w:t>
            </w:r>
          </w:p>
        </w:tc>
        <w:tc>
          <w:tcPr>
            <w:tcW w:w="775"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c>
          <w:tcPr>
            <w:tcW w:w="806" w:type="dxa"/>
            <w:vMerge w:val="continue"/>
            <w:shd w:val="clear" w:color="auto" w:fill="auto"/>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09"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7.</w:t>
            </w:r>
            <w:r>
              <w:rPr>
                <w:rFonts w:hint="eastAsia" w:ascii="仿宋" w:hAnsi="仿宋" w:eastAsia="仿宋" w:cs="仿宋"/>
                <w:i w:val="0"/>
                <w:iCs w:val="0"/>
                <w:snapToGrid w:val="0"/>
                <w:color w:val="000000"/>
                <w:kern w:val="0"/>
                <w:sz w:val="19"/>
                <w:szCs w:val="19"/>
                <w:u w:val="none"/>
                <w:lang w:val="en-US" w:eastAsia="zh-CN" w:bidi="ar"/>
              </w:rPr>
              <w:t>课程建设特色目标</w:t>
            </w:r>
          </w:p>
        </w:tc>
        <w:tc>
          <w:tcPr>
            <w:tcW w:w="1150"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cs="仿宋"/>
                <w:i w:val="0"/>
                <w:iCs w:val="0"/>
                <w:snapToGrid w:val="0"/>
                <w:color w:val="000000"/>
                <w:kern w:val="0"/>
                <w:sz w:val="19"/>
                <w:szCs w:val="19"/>
                <w:u w:val="none"/>
                <w:lang w:val="en-US" w:eastAsia="zh-CN" w:bidi="ar"/>
              </w:rPr>
              <w:t>7.1</w:t>
            </w:r>
            <w:r>
              <w:rPr>
                <w:rFonts w:hint="eastAsia" w:ascii="仿宋" w:hAnsi="仿宋" w:eastAsia="仿宋" w:cs="仿宋"/>
                <w:i w:val="0"/>
                <w:iCs w:val="0"/>
                <w:snapToGrid w:val="0"/>
                <w:color w:val="000000"/>
                <w:kern w:val="0"/>
                <w:sz w:val="19"/>
                <w:szCs w:val="19"/>
                <w:u w:val="none"/>
                <w:lang w:val="en-US" w:eastAsia="zh-CN" w:bidi="ar"/>
              </w:rPr>
              <w:t>课程建设特色</w:t>
            </w:r>
          </w:p>
        </w:tc>
        <w:tc>
          <w:tcPr>
            <w:tcW w:w="6550" w:type="dxa"/>
            <w:shd w:val="clear" w:color="auto" w:fill="auto"/>
            <w:vAlign w:val="center"/>
          </w:tcPr>
          <w:p>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充分彰显职业教育类型特征，体现专业数字化转型新要求，能够较好解决教育教学痛点难点问题。在落实课程思政、优化教学内容、创新教学模式、改进教学评价、运用数字技术等方面创新明显。</w:t>
            </w:r>
          </w:p>
        </w:tc>
        <w:tc>
          <w:tcPr>
            <w:tcW w:w="775" w:type="dxa"/>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3</w:t>
            </w:r>
          </w:p>
        </w:tc>
        <w:tc>
          <w:tcPr>
            <w:tcW w:w="806" w:type="dxa"/>
            <w:shd w:val="clear" w:color="auto" w:fill="auto"/>
            <w:vAlign w:val="center"/>
          </w:tcPr>
          <w:p>
            <w:pPr>
              <w:keepNext w:val="0"/>
              <w:keepLines w:val="0"/>
              <w:pageBreakBefore w:val="0"/>
              <w:widowControl/>
              <w:wordWrap/>
              <w:overflowPunct/>
              <w:topLinePunct w:val="0"/>
              <w:bidi w:val="0"/>
              <w:spacing w:line="240" w:lineRule="auto"/>
              <w:jc w:val="both"/>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9" w:type="dxa"/>
            <w:shd w:val="clear" w:color="auto" w:fill="auto"/>
            <w:noWrap/>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总分</w:t>
            </w:r>
          </w:p>
        </w:tc>
        <w:tc>
          <w:tcPr>
            <w:tcW w:w="9281" w:type="dxa"/>
            <w:gridSpan w:val="4"/>
            <w:shd w:val="clear" w:color="auto" w:fill="auto"/>
            <w:noWrap/>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3" w:hRule="atLeast"/>
        </w:trPr>
        <w:tc>
          <w:tcPr>
            <w:tcW w:w="1009" w:type="dxa"/>
            <w:shd w:val="clear" w:color="auto" w:fill="auto"/>
            <w:noWrap/>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评价人意见</w:t>
            </w:r>
          </w:p>
        </w:tc>
        <w:tc>
          <w:tcPr>
            <w:tcW w:w="9281" w:type="dxa"/>
            <w:gridSpan w:val="4"/>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snapToGrid w:val="0"/>
                <w:color w:val="000000"/>
                <w:kern w:val="0"/>
                <w:sz w:val="19"/>
                <w:szCs w:val="19"/>
                <w:u w:val="none"/>
                <w:lang w:val="en-US" w:eastAsia="zh-CN" w:bidi="ar"/>
              </w:rPr>
            </w:pPr>
          </w:p>
          <w:p>
            <w:pPr>
              <w:pStyle w:val="2"/>
              <w:ind w:left="0" w:leftChars="0" w:firstLine="0" w:firstLineChars="0"/>
              <w:rPr>
                <w:rFonts w:hint="eastAsia"/>
                <w:lang w:val="en-US" w:eastAsia="zh-CN"/>
              </w:rPr>
            </w:pPr>
          </w:p>
          <w:p>
            <w:pPr>
              <w:pStyle w:val="2"/>
              <w:rPr>
                <w:rFonts w:hint="eastAsia"/>
                <w:lang w:val="en-US" w:eastAsia="zh-CN"/>
              </w:rPr>
            </w:pPr>
          </w:p>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1009" w:type="dxa"/>
            <w:shd w:val="clear" w:color="auto" w:fill="auto"/>
            <w:noWrap/>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snapToGrid w:val="0"/>
                <w:color w:val="000000"/>
                <w:kern w:val="0"/>
                <w:sz w:val="19"/>
                <w:szCs w:val="19"/>
                <w:u w:val="none"/>
                <w:lang w:val="en-US" w:eastAsia="zh-CN" w:bidi="ar"/>
              </w:rPr>
              <w:t>评价等级</w:t>
            </w:r>
          </w:p>
        </w:tc>
        <w:tc>
          <w:tcPr>
            <w:tcW w:w="9281" w:type="dxa"/>
            <w:gridSpan w:val="4"/>
            <w:shd w:val="clear" w:color="auto" w:fill="auto"/>
            <w:noWrap/>
            <w:vAlign w:val="center"/>
          </w:tcPr>
          <w:p>
            <w:pPr>
              <w:keepNext w:val="0"/>
              <w:keepLines w:val="0"/>
              <w:pageBreakBefore w:val="0"/>
              <w:widowControl/>
              <w:wordWrap/>
              <w:overflowPunct/>
              <w:topLinePunct w:val="0"/>
              <w:bidi w:val="0"/>
              <w:spacing w:line="240" w:lineRule="auto"/>
              <w:jc w:val="center"/>
              <w:rPr>
                <w:rFonts w:hint="eastAsia" w:ascii="仿宋" w:hAnsi="仿宋" w:eastAsia="仿宋" w:cs="仿宋"/>
                <w:i w:val="0"/>
                <w:iCs w:val="0"/>
                <w:color w:val="000000"/>
                <w:sz w:val="19"/>
                <w:szCs w:val="19"/>
                <w:u w:val="none"/>
              </w:rPr>
            </w:pPr>
          </w:p>
        </w:tc>
      </w:tr>
    </w:tbl>
    <w:p>
      <w:pPr>
        <w:pStyle w:val="3"/>
        <w:spacing w:before="60" w:line="233" w:lineRule="auto"/>
        <w:ind w:left="29" w:firstLine="382"/>
        <w:rPr>
          <w:spacing w:val="1"/>
          <w:sz w:val="19"/>
          <w:szCs w:val="19"/>
        </w:rPr>
      </w:pPr>
    </w:p>
    <w:p>
      <w:pPr>
        <w:pStyle w:val="3"/>
        <w:spacing w:before="60" w:line="233" w:lineRule="auto"/>
        <w:ind w:left="0" w:leftChars="0" w:firstLine="384" w:firstLineChars="200"/>
        <w:rPr>
          <w:spacing w:val="8"/>
          <w:sz w:val="19"/>
          <w:szCs w:val="19"/>
          <w:lang w:eastAsia="zh-CN"/>
        </w:rPr>
      </w:pPr>
      <w:r>
        <w:rPr>
          <w:spacing w:val="1"/>
          <w:sz w:val="19"/>
          <w:szCs w:val="19"/>
        </w:rPr>
        <w:t>说明：</w:t>
      </w:r>
      <w:r>
        <w:rPr>
          <w:spacing w:val="8"/>
          <w:sz w:val="19"/>
          <w:szCs w:val="19"/>
          <w:lang w:eastAsia="zh-CN"/>
        </w:rPr>
        <w:t>分值是各考察点的满分，评价人根据各考察点的评估标准给出得分（0≤得分≤分值）。</w:t>
      </w:r>
    </w:p>
    <w:p>
      <w:pPr>
        <w:spacing w:line="240" w:lineRule="auto"/>
        <w:jc w:val="center"/>
        <w:rPr>
          <w:rFonts w:ascii="仿宋" w:hAnsi="仿宋" w:cs="仿宋"/>
        </w:rPr>
      </w:pPr>
    </w:p>
    <w:p>
      <w:pPr>
        <w:spacing w:line="240" w:lineRule="auto"/>
        <w:jc w:val="left"/>
        <w:rPr>
          <w:rFonts w:ascii="仿宋" w:hAnsi="仿宋" w:cs="仿宋"/>
          <w:sz w:val="2"/>
        </w:rPr>
      </w:pPr>
    </w:p>
    <w:p>
      <w:pPr>
        <w:spacing w:line="240" w:lineRule="auto"/>
        <w:jc w:val="center"/>
        <w:rPr>
          <w:rFonts w:ascii="仿宋" w:hAnsi="仿宋" w:cs="仿宋"/>
          <w:sz w:val="2"/>
          <w:szCs w:val="2"/>
        </w:rPr>
        <w:sectPr>
          <w:type w:val="continuous"/>
          <w:pgSz w:w="11906" w:h="16839"/>
          <w:pgMar w:top="1431" w:right="1028" w:bottom="0" w:left="1028" w:header="0" w:footer="0" w:gutter="0"/>
          <w:cols w:equalWidth="0" w:num="1">
            <w:col w:w="9850"/>
          </w:cols>
        </w:sectPr>
      </w:pPr>
    </w:p>
    <w:p>
      <w:pPr>
        <w:spacing w:line="240" w:lineRule="auto"/>
        <w:jc w:val="center"/>
        <w:rPr>
          <w:rFonts w:ascii="仿宋" w:hAnsi="仿宋" w:cs="仿宋"/>
          <w:sz w:val="2"/>
          <w:lang w:eastAsia="zh-CN"/>
        </w:rPr>
      </w:pPr>
      <w:bookmarkStart w:id="1" w:name="_GoBack"/>
      <w:bookmarkEnd w:id="1"/>
    </w:p>
    <w:sectPr>
      <w:pgSz w:w="11906" w:h="16839"/>
      <w:pgMar w:top="1431" w:right="1028" w:bottom="0" w:left="102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-142240</wp:posOffset>
              </wp:positionV>
              <wp:extent cx="1898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98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pt;height:144pt;width:14.95pt;mso-position-horizontal:center;mso-position-horizontal-relative:margin;z-index:251659264;mso-width-relative:page;mso-height-relative:page;" filled="f" stroked="f" coordsize="21600,21600" o:gfxdata="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p92R/XAAAABwEAAA8AAAAAAAAAAQAgAAAAIgAAAGRycy9kb3ducmV2LnhtbFBL&#10;AQIUABQAAAAIAIdO4kBrIdZUMAIAAFYEAAAOAAAAAAAAAAEAIAAAACYBAABkcnMvZTJvRG9jLnht&#10;bFBLBQYAAAAABgAGAFkBAADIBQAAAAA=&#10;">
              <v:fill on="f" focussize="0,0"/>
              <v:stroke on="f" weight="0.5pt"/>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1MjQ3MGU2NGIxZTU2MGFhZjlmYmZmODA5NTQyOTEifQ=="/>
  </w:docVars>
  <w:rsids>
    <w:rsidRoot w:val="00502F6E"/>
    <w:rsid w:val="00024445"/>
    <w:rsid w:val="000B6333"/>
    <w:rsid w:val="00251377"/>
    <w:rsid w:val="00316AED"/>
    <w:rsid w:val="00333295"/>
    <w:rsid w:val="003A6D92"/>
    <w:rsid w:val="003C503A"/>
    <w:rsid w:val="00486FBB"/>
    <w:rsid w:val="00502F6E"/>
    <w:rsid w:val="005579A9"/>
    <w:rsid w:val="005C78D5"/>
    <w:rsid w:val="0064066E"/>
    <w:rsid w:val="00692BB1"/>
    <w:rsid w:val="006A0C42"/>
    <w:rsid w:val="00736D1A"/>
    <w:rsid w:val="00772EBB"/>
    <w:rsid w:val="007D2767"/>
    <w:rsid w:val="008B7D45"/>
    <w:rsid w:val="008E4322"/>
    <w:rsid w:val="008F0B2D"/>
    <w:rsid w:val="00A06961"/>
    <w:rsid w:val="00AB30B4"/>
    <w:rsid w:val="00B12EA3"/>
    <w:rsid w:val="00C16DCE"/>
    <w:rsid w:val="00D16A4D"/>
    <w:rsid w:val="00DA2A52"/>
    <w:rsid w:val="00DC6ADF"/>
    <w:rsid w:val="00DD3922"/>
    <w:rsid w:val="00DE24FC"/>
    <w:rsid w:val="00E122B1"/>
    <w:rsid w:val="00E470D5"/>
    <w:rsid w:val="00F36F10"/>
    <w:rsid w:val="00FE40C1"/>
    <w:rsid w:val="00FF7EA2"/>
    <w:rsid w:val="03C525EF"/>
    <w:rsid w:val="04FD25A6"/>
    <w:rsid w:val="06110369"/>
    <w:rsid w:val="06347A28"/>
    <w:rsid w:val="07BA6FBB"/>
    <w:rsid w:val="0A805ABD"/>
    <w:rsid w:val="0AB67731"/>
    <w:rsid w:val="0AC97464"/>
    <w:rsid w:val="0BCE1DED"/>
    <w:rsid w:val="0C20729A"/>
    <w:rsid w:val="0CF825AD"/>
    <w:rsid w:val="0D123874"/>
    <w:rsid w:val="0D6B7A3F"/>
    <w:rsid w:val="0DCD306C"/>
    <w:rsid w:val="0F53577E"/>
    <w:rsid w:val="0FA77D16"/>
    <w:rsid w:val="107B377A"/>
    <w:rsid w:val="10CC380A"/>
    <w:rsid w:val="11270A41"/>
    <w:rsid w:val="114A0BD3"/>
    <w:rsid w:val="116C28F7"/>
    <w:rsid w:val="11EC0E8B"/>
    <w:rsid w:val="11FC183B"/>
    <w:rsid w:val="1201425F"/>
    <w:rsid w:val="121A2A47"/>
    <w:rsid w:val="128819B3"/>
    <w:rsid w:val="12CE00BB"/>
    <w:rsid w:val="12D06301"/>
    <w:rsid w:val="12DE5A77"/>
    <w:rsid w:val="12EF6816"/>
    <w:rsid w:val="137C0BAD"/>
    <w:rsid w:val="13C133CE"/>
    <w:rsid w:val="169074B5"/>
    <w:rsid w:val="169F772A"/>
    <w:rsid w:val="17FB49D5"/>
    <w:rsid w:val="186D0820"/>
    <w:rsid w:val="1A243CF7"/>
    <w:rsid w:val="1A4B1C44"/>
    <w:rsid w:val="1A840CB2"/>
    <w:rsid w:val="1BD550AE"/>
    <w:rsid w:val="1C9176B6"/>
    <w:rsid w:val="1D41732E"/>
    <w:rsid w:val="1E0526C2"/>
    <w:rsid w:val="1E6A01BF"/>
    <w:rsid w:val="1E6C3F37"/>
    <w:rsid w:val="1E771AFB"/>
    <w:rsid w:val="1EC41FC5"/>
    <w:rsid w:val="1EEF2EB4"/>
    <w:rsid w:val="1FBB33C8"/>
    <w:rsid w:val="1FC14756"/>
    <w:rsid w:val="1FFC12EA"/>
    <w:rsid w:val="21366A7E"/>
    <w:rsid w:val="223D0897"/>
    <w:rsid w:val="242E3354"/>
    <w:rsid w:val="24FE1558"/>
    <w:rsid w:val="26432EAA"/>
    <w:rsid w:val="278F339A"/>
    <w:rsid w:val="280B528A"/>
    <w:rsid w:val="29162832"/>
    <w:rsid w:val="29B36EBE"/>
    <w:rsid w:val="2B5B44F5"/>
    <w:rsid w:val="2B8F49FB"/>
    <w:rsid w:val="2B9F3B9D"/>
    <w:rsid w:val="2C4F65AE"/>
    <w:rsid w:val="2D2A4CC6"/>
    <w:rsid w:val="2DD16849"/>
    <w:rsid w:val="2E1C71BE"/>
    <w:rsid w:val="2E90580D"/>
    <w:rsid w:val="2F436F36"/>
    <w:rsid w:val="305303D5"/>
    <w:rsid w:val="30FD39D4"/>
    <w:rsid w:val="315E1E05"/>
    <w:rsid w:val="328A0BFC"/>
    <w:rsid w:val="337A0A4C"/>
    <w:rsid w:val="33850CB6"/>
    <w:rsid w:val="34993FE7"/>
    <w:rsid w:val="34F14D3E"/>
    <w:rsid w:val="355041E9"/>
    <w:rsid w:val="36415851"/>
    <w:rsid w:val="370A16B0"/>
    <w:rsid w:val="37936580"/>
    <w:rsid w:val="37F214F9"/>
    <w:rsid w:val="385C2E16"/>
    <w:rsid w:val="3B8E3F09"/>
    <w:rsid w:val="3CFB0E50"/>
    <w:rsid w:val="3DCB0822"/>
    <w:rsid w:val="3DD47813"/>
    <w:rsid w:val="3E9254C2"/>
    <w:rsid w:val="3F3E3D7D"/>
    <w:rsid w:val="3FDF2363"/>
    <w:rsid w:val="402D7572"/>
    <w:rsid w:val="4097362B"/>
    <w:rsid w:val="414803DC"/>
    <w:rsid w:val="41630D72"/>
    <w:rsid w:val="41E3239E"/>
    <w:rsid w:val="421C02DC"/>
    <w:rsid w:val="4473751E"/>
    <w:rsid w:val="449D0A3E"/>
    <w:rsid w:val="44B813D4"/>
    <w:rsid w:val="45140D01"/>
    <w:rsid w:val="45865516"/>
    <w:rsid w:val="463025EA"/>
    <w:rsid w:val="465C1313"/>
    <w:rsid w:val="47541B6A"/>
    <w:rsid w:val="475A2C17"/>
    <w:rsid w:val="47705F96"/>
    <w:rsid w:val="496A261D"/>
    <w:rsid w:val="49DB003F"/>
    <w:rsid w:val="4AD02BFC"/>
    <w:rsid w:val="4B1D2683"/>
    <w:rsid w:val="4C516396"/>
    <w:rsid w:val="4D3C7046"/>
    <w:rsid w:val="4D5E3925"/>
    <w:rsid w:val="4DF64286"/>
    <w:rsid w:val="4F332775"/>
    <w:rsid w:val="4F48055B"/>
    <w:rsid w:val="52E15F9A"/>
    <w:rsid w:val="535A51E8"/>
    <w:rsid w:val="551408A9"/>
    <w:rsid w:val="55A35789"/>
    <w:rsid w:val="55C872DD"/>
    <w:rsid w:val="564B2131"/>
    <w:rsid w:val="56D4747C"/>
    <w:rsid w:val="572274A6"/>
    <w:rsid w:val="57DA7B88"/>
    <w:rsid w:val="5914152F"/>
    <w:rsid w:val="59D93E6F"/>
    <w:rsid w:val="5A8262B5"/>
    <w:rsid w:val="5BCA7F13"/>
    <w:rsid w:val="5BDF56AE"/>
    <w:rsid w:val="5C9A3FBA"/>
    <w:rsid w:val="5D042FB1"/>
    <w:rsid w:val="5DD21301"/>
    <w:rsid w:val="5E443FAD"/>
    <w:rsid w:val="5EE27322"/>
    <w:rsid w:val="5FFE63DD"/>
    <w:rsid w:val="60167F15"/>
    <w:rsid w:val="60545FFD"/>
    <w:rsid w:val="61F10721"/>
    <w:rsid w:val="62347E94"/>
    <w:rsid w:val="637E7735"/>
    <w:rsid w:val="64882719"/>
    <w:rsid w:val="648F080E"/>
    <w:rsid w:val="64EC0EFA"/>
    <w:rsid w:val="66EC3434"/>
    <w:rsid w:val="67BA15E6"/>
    <w:rsid w:val="67C021CA"/>
    <w:rsid w:val="67DD4B2A"/>
    <w:rsid w:val="683D3109"/>
    <w:rsid w:val="683D585C"/>
    <w:rsid w:val="685E392F"/>
    <w:rsid w:val="68714EAA"/>
    <w:rsid w:val="689613F2"/>
    <w:rsid w:val="68E030D7"/>
    <w:rsid w:val="69342E70"/>
    <w:rsid w:val="6A0E1913"/>
    <w:rsid w:val="6ADF0EA2"/>
    <w:rsid w:val="6D7B52DD"/>
    <w:rsid w:val="6DB4632D"/>
    <w:rsid w:val="6E3851B0"/>
    <w:rsid w:val="6E597143"/>
    <w:rsid w:val="6E935290"/>
    <w:rsid w:val="6F6D0E8A"/>
    <w:rsid w:val="6F800BBD"/>
    <w:rsid w:val="70650803"/>
    <w:rsid w:val="70C920F0"/>
    <w:rsid w:val="71857684"/>
    <w:rsid w:val="71A55828"/>
    <w:rsid w:val="727442DD"/>
    <w:rsid w:val="72F773E8"/>
    <w:rsid w:val="734A1D78"/>
    <w:rsid w:val="73CC2288"/>
    <w:rsid w:val="74C660D7"/>
    <w:rsid w:val="752D515E"/>
    <w:rsid w:val="75790588"/>
    <w:rsid w:val="769B63D5"/>
    <w:rsid w:val="76FF3DCA"/>
    <w:rsid w:val="77736196"/>
    <w:rsid w:val="77980E64"/>
    <w:rsid w:val="77E47235"/>
    <w:rsid w:val="78B75E9C"/>
    <w:rsid w:val="792E3806"/>
    <w:rsid w:val="7A184F0C"/>
    <w:rsid w:val="7A4A24F3"/>
    <w:rsid w:val="7ABE2599"/>
    <w:rsid w:val="7BAD3D5D"/>
    <w:rsid w:val="7C5511A9"/>
    <w:rsid w:val="7C7703F2"/>
    <w:rsid w:val="7DC13744"/>
    <w:rsid w:val="7E22356A"/>
    <w:rsid w:val="7ED700CE"/>
    <w:rsid w:val="7F4B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560" w:lineRule="exact"/>
      <w:textAlignment w:val="baseline"/>
    </w:pPr>
    <w:rPr>
      <w:rFonts w:ascii="Arial" w:hAnsi="Arial" w:eastAsia="仿宋" w:cs="Arial"/>
      <w:snapToGrid w:val="0"/>
      <w:color w:val="000000"/>
      <w:sz w:val="32"/>
      <w:szCs w:val="21"/>
      <w:lang w:val="en-US" w:eastAsia="en-US"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autoRedefine/>
    <w:qFormat/>
    <w:uiPriority w:val="99"/>
    <w:pPr>
      <w:widowControl w:val="0"/>
      <w:ind w:firstLine="420" w:firstLineChars="100"/>
      <w:jc w:val="both"/>
    </w:pPr>
    <w:rPr>
      <w:rFonts w:ascii="Calibri" w:hAnsi="Calibri" w:eastAsia="宋体" w:cs="宋体"/>
      <w:lang w:val="en-US" w:eastAsia="zh-CN" w:bidi="ar-SA"/>
    </w:rPr>
  </w:style>
  <w:style w:type="paragraph" w:styleId="3">
    <w:name w:val="Body Text"/>
    <w:basedOn w:val="1"/>
    <w:autoRedefine/>
    <w:qFormat/>
    <w:uiPriority w:val="0"/>
    <w:pPr>
      <w:ind w:firstLine="420" w:firstLineChars="200"/>
    </w:pPr>
    <w:rPr>
      <w:rFonts w:ascii="仿宋" w:hAnsi="仿宋" w:cs="仿宋"/>
      <w:szCs w:val="31"/>
    </w:rPr>
  </w:style>
  <w:style w:type="paragraph" w:styleId="4">
    <w:name w:val="Balloon Text"/>
    <w:basedOn w:val="1"/>
    <w:link w:val="12"/>
    <w:autoRedefine/>
    <w:qFormat/>
    <w:uiPriority w:val="0"/>
    <w:pPr>
      <w:spacing w:line="240" w:lineRule="auto"/>
    </w:pPr>
    <w:rPr>
      <w:sz w:val="18"/>
      <w:szCs w:val="18"/>
    </w:rPr>
  </w:style>
  <w:style w:type="paragraph" w:styleId="5">
    <w:name w:val="footer"/>
    <w:basedOn w:val="1"/>
    <w:autoRedefine/>
    <w:qFormat/>
    <w:uiPriority w:val="0"/>
    <w:pPr>
      <w:tabs>
        <w:tab w:val="center" w:pos="4153"/>
        <w:tab w:val="right" w:pos="8306"/>
      </w:tabs>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table" w:styleId="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pPr>
      <w:framePr w:hSpace="180" w:wrap="around" w:vAnchor="page" w:hAnchor="page" w:xAlign="center" w:y="3742"/>
      <w:suppressOverlap/>
      <w:spacing w:line="240" w:lineRule="auto"/>
    </w:pPr>
    <w:rPr>
      <w:rFonts w:ascii="仿宋" w:hAnsi="仿宋" w:cs="仿宋"/>
      <w:sz w:val="19"/>
      <w:szCs w:val="19"/>
    </w:rPr>
  </w:style>
  <w:style w:type="character" w:customStyle="1" w:styleId="12">
    <w:name w:val="批注框文本 字符"/>
    <w:basedOn w:val="9"/>
    <w:link w:val="4"/>
    <w:autoRedefine/>
    <w:qFormat/>
    <w:uiPriority w:val="0"/>
    <w:rPr>
      <w:rFonts w:ascii="Arial" w:hAnsi="Arial" w:eastAsia="仿宋"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960</Words>
  <Characters>5473</Characters>
  <Lines>45</Lines>
  <Paragraphs>12</Paragraphs>
  <TotalTime>54</TotalTime>
  <ScaleCrop>false</ScaleCrop>
  <LinksUpToDate>false</LinksUpToDate>
  <CharactersWithSpaces>6421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2024-05-07T06:54:00Z</dcterms:created>
  <dc:creator>Lenovo</dc:creator>
  <cp:lastModifiedBy>星卡</cp:lastModifiedBy>
  <cp:lastPrinted>2024-03-18T01:04:00Z</cp:lastPrinted>
  <dcterms:modified xsi:type="dcterms:W3CDTF">2024-05-27T02:33:57Z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2023-12-27T16:13:17Z</vt:filetime>
  </property>
  <property fmtid="{D5CDD505-2E9C-101B-9397-08002B2CF9AE}" pid="4" name="KSOProductBuildVer">
    <vt:lpwstr>2052-12.1.0.16729</vt:lpwstr>
  </property>
  <property fmtid="{D5CDD505-2E9C-101B-9397-08002B2CF9AE}" pid="5" name="ICV">
    <vt:lpwstr>EB09B5DEA6EB44A0BFDEB70768A399A9_13</vt:lpwstr>
  </property>
</Properties>
</file>