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beforeAutospacing="1" w:after="100" w:afterLines="0" w:afterAutospacing="1" w:line="336" w:lineRule="auto"/>
        <w:jc w:val="center"/>
        <w:rPr>
          <w:rFonts w:hint="eastAsia" w:ascii="宋体" w:hAnsi="宋体" w:eastAsia="宋体"/>
          <w:b/>
          <w:color w:val="FF0000"/>
          <w:sz w:val="72"/>
          <w:szCs w:val="72"/>
          <w:lang w:eastAsia="zh-CN"/>
        </w:rPr>
      </w:pPr>
      <w:r>
        <w:rPr>
          <w:rFonts w:hint="eastAsia" w:ascii="宋体" w:hAnsi="宋体" w:eastAsia="宋体"/>
          <w:b/>
          <w:color w:val="FF0000"/>
          <w:sz w:val="72"/>
          <w:szCs w:val="72"/>
          <w:lang w:eastAsia="zh-CN"/>
        </w:rPr>
        <w:drawing>
          <wp:inline distT="0" distB="0" distL="114300" distR="114300">
            <wp:extent cx="3329940" cy="953135"/>
            <wp:effectExtent l="0" t="0" r="0" b="0"/>
            <wp:docPr id="1" name="图片 1" descr="校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2"/>
                    <pic:cNvPicPr>
                      <a:picLocks noChangeAspect="1"/>
                    </pic:cNvPicPr>
                  </pic:nvPicPr>
                  <pic:blipFill>
                    <a:blip r:embed="rId4"/>
                    <a:stretch>
                      <a:fillRect/>
                    </a:stretch>
                  </pic:blipFill>
                  <pic:spPr>
                    <a:xfrm>
                      <a:off x="0" y="0"/>
                      <a:ext cx="3329940" cy="953135"/>
                    </a:xfrm>
                    <a:prstGeom prst="rect">
                      <a:avLst/>
                    </a:prstGeom>
                    <a:noFill/>
                    <a:ln w="9525">
                      <a:noFill/>
                    </a:ln>
                  </pic:spPr>
                </pic:pic>
              </a:graphicData>
            </a:graphic>
          </wp:inline>
        </w:drawing>
      </w:r>
    </w:p>
    <w:p>
      <w:pPr>
        <w:spacing w:before="100" w:beforeLines="0" w:beforeAutospacing="1" w:after="100" w:afterLines="0" w:afterAutospacing="1"/>
        <w:jc w:val="center"/>
        <w:rPr>
          <w:rFonts w:hint="eastAsia" w:ascii="宋体" w:hAnsi="宋体"/>
          <w:b/>
          <w:color w:val="FF0000"/>
          <w:sz w:val="104"/>
          <w:szCs w:val="84"/>
        </w:rPr>
      </w:pPr>
      <w:r>
        <w:rPr>
          <w:rFonts w:hint="eastAsia" w:ascii="宋体" w:hAnsi="宋体"/>
          <w:b/>
          <w:color w:val="FF0000"/>
          <w:sz w:val="104"/>
          <w:szCs w:val="84"/>
        </w:rPr>
        <w:t>评建工作简报</w:t>
      </w:r>
    </w:p>
    <w:p>
      <w:pPr>
        <w:spacing w:before="100" w:beforeLines="0" w:beforeAutospacing="1" w:after="100" w:afterLines="0" w:afterAutospacing="1" w:line="500" w:lineRule="exact"/>
        <w:jc w:val="center"/>
        <w:rPr>
          <w:rFonts w:hint="eastAsia" w:ascii="宋体" w:hAnsi="宋体" w:eastAsia="宋体"/>
          <w:sz w:val="30"/>
          <w:szCs w:val="30"/>
          <w:lang w:eastAsia="zh-CN"/>
        </w:rPr>
      </w:pPr>
      <w:r>
        <w:rPr>
          <w:rFonts w:hint="eastAsia" w:ascii="宋体" w:hAnsi="宋体"/>
          <w:color w:val="000000"/>
          <w:sz w:val="30"/>
          <w:szCs w:val="30"/>
        </w:rPr>
        <w:t>第</w:t>
      </w:r>
      <w:r>
        <w:rPr>
          <w:rFonts w:hint="eastAsia" w:ascii="宋体" w:hAnsi="宋体"/>
          <w:color w:val="000000"/>
          <w:sz w:val="30"/>
          <w:szCs w:val="30"/>
          <w:lang w:val="en-US" w:eastAsia="zh-CN"/>
        </w:rPr>
        <w:t>四十六</w:t>
      </w:r>
      <w:r>
        <w:rPr>
          <w:rFonts w:hint="eastAsia" w:ascii="宋体" w:hAnsi="宋体"/>
          <w:color w:val="000000"/>
          <w:sz w:val="30"/>
          <w:szCs w:val="30"/>
        </w:rPr>
        <w:t>期</w:t>
      </w:r>
    </w:p>
    <w:p>
      <w:pPr>
        <w:spacing w:before="100" w:beforeLines="0" w:beforeAutospacing="1" w:after="100" w:afterLines="0" w:afterAutospacing="1" w:line="500" w:lineRule="exact"/>
        <w:jc w:val="left"/>
        <w:rPr>
          <w:rFonts w:hint="eastAsia" w:ascii="宋体" w:hAnsi="宋体"/>
          <w:color w:val="000000"/>
          <w:sz w:val="30"/>
          <w:szCs w:val="30"/>
        </w:rPr>
      </w:pPr>
      <w:r>
        <w:rPr>
          <w:rFonts w:hint="eastAsia" w:ascii="宋体" w:hAnsi="宋体"/>
          <w:color w:val="000000"/>
          <w:sz w:val="30"/>
          <w:szCs w:val="30"/>
        </w:rPr>
        <w:t>福州</w:t>
      </w:r>
      <w:r>
        <w:rPr>
          <w:rFonts w:hint="eastAsia" w:ascii="宋体" w:hAnsi="宋体"/>
          <w:color w:val="000000"/>
          <w:sz w:val="30"/>
          <w:szCs w:val="30"/>
          <w:lang w:eastAsia="zh-CN"/>
        </w:rPr>
        <w:t>软件</w:t>
      </w:r>
      <w:r>
        <w:rPr>
          <w:rFonts w:hint="eastAsia" w:ascii="宋体" w:hAnsi="宋体"/>
          <w:color w:val="000000"/>
          <w:sz w:val="30"/>
          <w:szCs w:val="30"/>
        </w:rPr>
        <w:t>职业技术学院评建工作办公室编   20</w:t>
      </w:r>
      <w:r>
        <w:rPr>
          <w:rFonts w:hint="eastAsia" w:ascii="宋体" w:hAnsi="宋体"/>
          <w:color w:val="000000"/>
          <w:sz w:val="30"/>
          <w:szCs w:val="30"/>
          <w:lang w:val="en-US" w:eastAsia="zh-CN"/>
        </w:rPr>
        <w:t>24年1</w:t>
      </w:r>
      <w:r>
        <w:rPr>
          <w:rFonts w:hint="eastAsia" w:ascii="宋体" w:hAnsi="宋体"/>
          <w:color w:val="000000"/>
          <w:sz w:val="30"/>
          <w:szCs w:val="30"/>
        </w:rPr>
        <w:t>月</w:t>
      </w:r>
      <w:r>
        <w:rPr>
          <w:rFonts w:hint="eastAsia" w:ascii="宋体" w:hAnsi="宋体"/>
          <w:color w:val="000000"/>
          <w:sz w:val="30"/>
          <w:szCs w:val="30"/>
          <w:lang w:val="en-US" w:eastAsia="zh-CN"/>
        </w:rPr>
        <w:t>28</w:t>
      </w:r>
      <w:r>
        <w:rPr>
          <w:rFonts w:hint="eastAsia" w:ascii="宋体" w:hAnsi="宋体"/>
          <w:color w:val="000000"/>
          <w:sz w:val="30"/>
          <w:szCs w:val="30"/>
        </w:rPr>
        <w:t>日</w:t>
      </w:r>
    </w:p>
    <w:p>
      <w:pPr>
        <w:spacing w:before="100" w:beforeLines="0" w:beforeAutospacing="1" w:after="100" w:afterLines="0" w:afterAutospacing="1" w:line="500" w:lineRule="exact"/>
        <w:jc w:val="left"/>
        <w:rPr>
          <w:rFonts w:hint="eastAsia"/>
          <w:color w:val="000000"/>
          <w:sz w:val="30"/>
          <w:szCs w:val="30"/>
        </w:rPr>
      </w:pPr>
      <w:r>
        <w:rPr>
          <w:sz w:val="30"/>
        </w:rPr>
        <mc:AlternateContent>
          <mc:Choice Requires="wps">
            <w:drawing>
              <wp:inline distT="0" distB="0" distL="114300" distR="114300">
                <wp:extent cx="5257800" cy="0"/>
                <wp:effectExtent l="0" t="9525" r="0" b="13335"/>
                <wp:docPr id="3" name="直接连接符 3"/>
                <wp:cNvGraphicFramePr/>
                <a:graphic xmlns:a="http://schemas.openxmlformats.org/drawingml/2006/main">
                  <a:graphicData uri="http://schemas.microsoft.com/office/word/2010/wordprocessingShape">
                    <wps:wsp>
                      <wps:cNvCnPr/>
                      <wps:spPr>
                        <a:xfrm>
                          <a:off x="1143000" y="4100195"/>
                          <a:ext cx="5257800" cy="0"/>
                        </a:xfrm>
                        <a:prstGeom prst="line">
                          <a:avLst/>
                        </a:prstGeom>
                        <a:ln w="19050" cap="flat" cmpd="sng">
                          <a:solidFill>
                            <a:srgbClr val="FF0000"/>
                          </a:solidFill>
                          <a:prstDash val="solid"/>
                          <a:headEnd type="none" w="med" len="med"/>
                          <a:tailEnd type="none" w="med" len="med"/>
                        </a:ln>
                      </wps:spPr>
                      <wps:bodyPr upright="1"/>
                    </wps:wsp>
                  </a:graphicData>
                </a:graphic>
              </wp:inline>
            </w:drawing>
          </mc:Choice>
          <mc:Fallback>
            <w:pict>
              <v:line id="_x0000_s1026" o:spid="_x0000_s1026" o:spt="20" style="height:0pt;width:414pt;" filled="f" stroked="t" coordsize="21600,21600" o:gfxdata="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nt1/nSAAAAAgEAAA8AAAAAAAAAAQAgAAAAIgAAAGRycy9kb3ducmV2&#10;LnhtbFBLAQIUABQAAAAIAIdO4kAWtEcgAgIAAPEDAAAOAAAAAAAAAAEAIAAAACEBAABkcnMvZTJv&#10;RG9jLnhtbFBLBQYAAAAABgAGAFkBAACVBQAAAAA=&#10;">
                <v:fill on="f" focussize="0,0"/>
                <v:stroke weight="1.5pt" color="#FF0000" joinstyle="round"/>
                <v:imagedata o:title=""/>
                <o:lock v:ext="edit" aspectratio="f"/>
                <w10:wrap type="none"/>
                <w10:anchorlock/>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2" w:firstLineChars="200"/>
        <w:jc w:val="left"/>
        <w:textAlignment w:val="auto"/>
        <w:rPr>
          <w:color w:val="000000"/>
          <w:sz w:val="30"/>
          <w:szCs w:val="30"/>
        </w:rPr>
      </w:pPr>
      <w:r>
        <w:rPr>
          <w:rFonts w:ascii="黑体" w:eastAsia="黑体"/>
          <w:b/>
          <w:color w:val="000000"/>
          <w:sz w:val="24"/>
        </w:rPr>
        <w:t>[编者语]</w:t>
      </w:r>
      <w:r>
        <w:rPr>
          <w:rFonts w:ascii="黑体" w:eastAsia="黑体"/>
          <w:color w:val="000000"/>
          <w:sz w:val="24"/>
        </w:rPr>
        <w:t xml:space="preserve"> </w:t>
      </w:r>
      <w:r>
        <w:rPr>
          <w:rFonts w:hint="eastAsia" w:ascii="黑体" w:eastAsia="黑体"/>
          <w:color w:val="000000"/>
          <w:sz w:val="24"/>
        </w:rPr>
        <w:t>《评建工作简报》是为配合我院迎接高职高专人才培养工作评估而编发的，旨在及时传达教育部、省教育厅有关指示精神和学院的相关规定，反映学院迎接高职高专人才培养工作评估的动态，服务于学院教育教学改革和评建工作，以期达到“以评促建、以评促改、以评促管、</w:t>
      </w:r>
      <w:r>
        <w:rPr>
          <w:rFonts w:hint="eastAsia" w:ascii="黑体" w:eastAsia="黑体"/>
          <w:color w:val="000000"/>
          <w:sz w:val="24"/>
          <w:lang w:val="en-US" w:eastAsia="zh-CN"/>
        </w:rPr>
        <w:t>以评促强</w:t>
      </w:r>
      <w:bookmarkStart w:id="0" w:name="_GoBack"/>
      <w:bookmarkEnd w:id="0"/>
      <w:r>
        <w:rPr>
          <w:rFonts w:hint="eastAsia" w:ascii="黑体" w:eastAsia="黑体"/>
          <w:color w:val="000000"/>
          <w:sz w:val="24"/>
        </w:rPr>
        <w:t>”的目的，促进我院教育教学工作迈上新台阶。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黑体" w:eastAsia="黑体"/>
          <w:color w:val="000000"/>
          <w:sz w:val="24"/>
        </w:rPr>
      </w:pPr>
      <w:r>
        <w:rPr>
          <w:rFonts w:hint="eastAsia" w:ascii="黑体" w:eastAsia="黑体"/>
          <w:color w:val="000000"/>
          <w:sz w:val="24"/>
        </w:rPr>
        <w:t>我们欢迎各位读者提出宝贵意见和建议，并提供有关评建工作的信息。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pStyle w:val="2"/>
              <w:spacing w:line="360" w:lineRule="auto"/>
              <w:ind w:left="0" w:leftChars="0" w:firstLine="0" w:firstLineChars="0"/>
              <w:rPr>
                <w:rFonts w:hint="eastAsia" w:asciiTheme="minorEastAsia" w:hAnsiTheme="minorEastAsia" w:eastAsiaTheme="minorEastAsia" w:cstheme="minorEastAsia"/>
                <w:b/>
                <w:bCs/>
                <w:i w:val="0"/>
                <w:iCs w:val="0"/>
                <w:caps w:val="0"/>
                <w:color w:val="000000"/>
                <w:spacing w:val="0"/>
                <w:sz w:val="21"/>
                <w:szCs w:val="21"/>
                <w:u w:val="none"/>
                <w:shd w:val="clear" w:fill="FFFFFF"/>
              </w:rPr>
            </w:pPr>
            <w:r>
              <w:rPr>
                <w:rFonts w:hint="default" w:ascii="Wingdings" w:hAnsi="Wingdings" w:eastAsia="宋体" w:cs="Wingdings"/>
                <w:b/>
                <w:bCs/>
                <w:color w:val="000000"/>
                <w:kern w:val="2"/>
                <w:sz w:val="21"/>
                <w:szCs w:val="21"/>
                <w:lang w:val="en-US" w:eastAsia="zh-CN" w:bidi="ar"/>
              </w:rPr>
              <w:t>u</w:t>
            </w:r>
            <w:r>
              <w:rPr>
                <w:rFonts w:hint="eastAsia" w:asciiTheme="minorEastAsia" w:hAnsiTheme="minorEastAsia" w:eastAsiaTheme="minorEastAsia" w:cstheme="minorEastAsia"/>
                <w:b/>
                <w:bCs/>
                <w:i w:val="0"/>
                <w:iCs w:val="0"/>
                <w:caps w:val="0"/>
                <w:color w:val="000000"/>
                <w:spacing w:val="0"/>
                <w:sz w:val="21"/>
                <w:szCs w:val="21"/>
                <w:u w:val="none"/>
                <w:shd w:val="clear" w:fill="FFFFFF"/>
              </w:rPr>
              <w:fldChar w:fldCharType="begin"/>
            </w:r>
            <w:r>
              <w:rPr>
                <w:rFonts w:hint="eastAsia" w:asciiTheme="minorEastAsia" w:hAnsiTheme="minorEastAsia" w:eastAsiaTheme="minorEastAsia" w:cstheme="minorEastAsia"/>
                <w:b/>
                <w:bCs/>
                <w:i w:val="0"/>
                <w:iCs w:val="0"/>
                <w:caps w:val="0"/>
                <w:color w:val="000000"/>
                <w:spacing w:val="0"/>
                <w:sz w:val="21"/>
                <w:szCs w:val="21"/>
                <w:u w:val="none"/>
                <w:shd w:val="clear" w:fill="FFFFFF"/>
              </w:rPr>
              <w:instrText xml:space="preserve"> HYPERLINK "https://www.fzrjxy.com/posts-details-i-3114.html" </w:instrText>
            </w:r>
            <w:r>
              <w:rPr>
                <w:rFonts w:hint="eastAsia" w:asciiTheme="minorEastAsia" w:hAnsiTheme="minorEastAsia" w:eastAsiaTheme="minorEastAsia" w:cstheme="minorEastAsia"/>
                <w:b/>
                <w:bCs/>
                <w:i w:val="0"/>
                <w:iCs w:val="0"/>
                <w:caps w:val="0"/>
                <w:color w:val="000000"/>
                <w:spacing w:val="0"/>
                <w:sz w:val="21"/>
                <w:szCs w:val="21"/>
                <w:u w:val="none"/>
                <w:shd w:val="clear" w:fill="FFFFFF"/>
              </w:rPr>
              <w:fldChar w:fldCharType="separate"/>
            </w:r>
            <w:r>
              <w:rPr>
                <w:rStyle w:val="8"/>
                <w:rFonts w:hint="eastAsia" w:asciiTheme="minorEastAsia" w:hAnsiTheme="minorEastAsia" w:eastAsiaTheme="minorEastAsia" w:cstheme="minorEastAsia"/>
                <w:b/>
                <w:bCs/>
                <w:i w:val="0"/>
                <w:iCs w:val="0"/>
                <w:caps w:val="0"/>
                <w:color w:val="000000"/>
                <w:spacing w:val="0"/>
                <w:sz w:val="21"/>
                <w:szCs w:val="21"/>
                <w:u w:val="none"/>
                <w:shd w:val="clear" w:fill="FFFFFF"/>
              </w:rPr>
              <w:t>喜讯丨数字金融产业学院师生在2023年福建省大中专学生志愿者暑期“三下乡”社会实践系列活动中喜获佳绩</w:t>
            </w:r>
            <w:r>
              <w:rPr>
                <w:rFonts w:hint="eastAsia" w:asciiTheme="minorEastAsia" w:hAnsiTheme="minorEastAsia" w:eastAsiaTheme="minorEastAsia" w:cstheme="minorEastAsia"/>
                <w:b/>
                <w:bCs/>
                <w:i w:val="0"/>
                <w:iCs w:val="0"/>
                <w:caps w:val="0"/>
                <w:color w:val="000000"/>
                <w:spacing w:val="0"/>
                <w:sz w:val="21"/>
                <w:szCs w:val="21"/>
                <w:u w:val="none"/>
                <w:shd w:val="clear" w:fill="FFFFFF"/>
              </w:rPr>
              <w:fldChar w:fldCharType="end"/>
            </w:r>
          </w:p>
          <w:p>
            <w:pPr>
              <w:pStyle w:val="2"/>
              <w:spacing w:line="360" w:lineRule="auto"/>
              <w:ind w:left="0" w:leftChars="0" w:firstLine="0" w:firstLineChars="0"/>
              <w:rPr>
                <w:rFonts w:hint="eastAsia" w:asciiTheme="minorEastAsia" w:hAnsiTheme="minorEastAsia" w:eastAsiaTheme="minorEastAsia" w:cstheme="minorEastAsia"/>
                <w:b/>
                <w:bCs/>
                <w:i w:val="0"/>
                <w:iCs w:val="0"/>
                <w:caps w:val="0"/>
                <w:color w:val="000000"/>
                <w:spacing w:val="0"/>
                <w:sz w:val="21"/>
                <w:szCs w:val="21"/>
                <w:u w:val="none"/>
                <w:shd w:val="clear" w:fill="FFFFFF"/>
              </w:rPr>
            </w:pPr>
            <w:r>
              <w:rPr>
                <w:rFonts w:hint="default" w:ascii="Wingdings" w:hAnsi="Wingdings" w:eastAsia="宋体" w:cs="Wingdings"/>
                <w:b/>
                <w:bCs/>
                <w:color w:val="000000"/>
                <w:kern w:val="2"/>
                <w:sz w:val="21"/>
                <w:szCs w:val="21"/>
                <w:lang w:val="en-US" w:eastAsia="zh-CN" w:bidi="ar"/>
              </w:rPr>
              <w:t>u</w:t>
            </w:r>
            <w:r>
              <w:rPr>
                <w:rFonts w:hint="eastAsia" w:asciiTheme="minorEastAsia" w:hAnsiTheme="minorEastAsia" w:eastAsiaTheme="minorEastAsia" w:cstheme="minorEastAsia"/>
                <w:b/>
                <w:bCs/>
                <w:i w:val="0"/>
                <w:iCs w:val="0"/>
                <w:caps w:val="0"/>
                <w:color w:val="000000"/>
                <w:spacing w:val="0"/>
                <w:sz w:val="21"/>
                <w:szCs w:val="21"/>
                <w:u w:val="none"/>
                <w:shd w:val="clear" w:fill="FFFFFF"/>
              </w:rPr>
              <w:fldChar w:fldCharType="begin"/>
            </w:r>
            <w:r>
              <w:rPr>
                <w:rFonts w:hint="eastAsia" w:asciiTheme="minorEastAsia" w:hAnsiTheme="minorEastAsia" w:eastAsiaTheme="minorEastAsia" w:cstheme="minorEastAsia"/>
                <w:b/>
                <w:bCs/>
                <w:i w:val="0"/>
                <w:iCs w:val="0"/>
                <w:caps w:val="0"/>
                <w:color w:val="000000"/>
                <w:spacing w:val="0"/>
                <w:sz w:val="21"/>
                <w:szCs w:val="21"/>
                <w:u w:val="none"/>
                <w:shd w:val="clear" w:fill="FFFFFF"/>
              </w:rPr>
              <w:instrText xml:space="preserve"> HYPERLINK "https://www.fzrjxy.com/posts-details-i-3123.html" </w:instrText>
            </w:r>
            <w:r>
              <w:rPr>
                <w:rFonts w:hint="eastAsia" w:asciiTheme="minorEastAsia" w:hAnsiTheme="minorEastAsia" w:eastAsiaTheme="minorEastAsia" w:cstheme="minorEastAsia"/>
                <w:b/>
                <w:bCs/>
                <w:i w:val="0"/>
                <w:iCs w:val="0"/>
                <w:caps w:val="0"/>
                <w:color w:val="000000"/>
                <w:spacing w:val="0"/>
                <w:sz w:val="21"/>
                <w:szCs w:val="21"/>
                <w:u w:val="none"/>
                <w:shd w:val="clear" w:fill="FFFFFF"/>
              </w:rPr>
              <w:fldChar w:fldCharType="separate"/>
            </w:r>
            <w:r>
              <w:rPr>
                <w:rStyle w:val="8"/>
                <w:rFonts w:hint="eastAsia" w:asciiTheme="minorEastAsia" w:hAnsiTheme="minorEastAsia" w:eastAsiaTheme="minorEastAsia" w:cstheme="minorEastAsia"/>
                <w:b/>
                <w:bCs/>
                <w:i w:val="0"/>
                <w:iCs w:val="0"/>
                <w:caps w:val="0"/>
                <w:color w:val="000000"/>
                <w:spacing w:val="0"/>
                <w:sz w:val="21"/>
                <w:szCs w:val="21"/>
                <w:u w:val="none"/>
                <w:shd w:val="clear" w:fill="FFFFFF"/>
              </w:rPr>
              <w:t>喜讯 | 我校游戏产业学院师生参加2024年福建省职业院校技能大赛（高职组）“文化艺术”专业大类荣获多个奖项</w:t>
            </w:r>
            <w:r>
              <w:rPr>
                <w:rFonts w:hint="eastAsia" w:asciiTheme="minorEastAsia" w:hAnsiTheme="minorEastAsia" w:eastAsiaTheme="minorEastAsia" w:cstheme="minorEastAsia"/>
                <w:b/>
                <w:bCs/>
                <w:i w:val="0"/>
                <w:iCs w:val="0"/>
                <w:caps w:val="0"/>
                <w:color w:val="000000"/>
                <w:spacing w:val="0"/>
                <w:sz w:val="21"/>
                <w:szCs w:val="21"/>
                <w:u w:val="none"/>
                <w:shd w:val="clear" w:fill="FFFFFF"/>
              </w:rPr>
              <w:fldChar w:fldCharType="end"/>
            </w:r>
          </w:p>
          <w:p>
            <w:pPr>
              <w:pStyle w:val="2"/>
              <w:rPr>
                <w:rFonts w:hint="eastAsia" w:ascii="微软雅黑" w:hAnsi="微软雅黑" w:eastAsia="微软雅黑" w:cs="微软雅黑"/>
                <w:i w:val="0"/>
                <w:iCs w:val="0"/>
                <w:caps w:val="0"/>
                <w:color w:val="000000"/>
                <w:spacing w:val="0"/>
                <w:sz w:val="20"/>
                <w:szCs w:val="20"/>
                <w:u w:val="none"/>
                <w:shd w:val="clear" w:fill="FFFFFF"/>
              </w:rPr>
            </w:pPr>
          </w:p>
        </w:tc>
      </w:tr>
    </w:tbl>
    <w:p>
      <w:pPr>
        <w:pStyle w:val="2"/>
        <w:sectPr>
          <w:pgSz w:w="11906" w:h="16838"/>
          <w:pgMar w:top="1440" w:right="1800" w:bottom="1440" w:left="1800" w:header="851" w:footer="992" w:gutter="0"/>
          <w:cols w:space="425" w:num="1"/>
          <w:docGrid w:type="lines" w:linePitch="312" w:charSpace="0"/>
        </w:sectPr>
      </w:pPr>
    </w:p>
    <w:p>
      <w:pPr>
        <w:keepNext w:val="0"/>
        <w:keepLines w:val="0"/>
        <w:widowControl/>
        <w:suppressLineNumbers w:val="0"/>
        <w:shd w:val="clear" w:fill="FFFFFF"/>
        <w:ind w:left="0" w:firstLine="0"/>
        <w:jc w:val="center"/>
        <w:rPr>
          <w:rFonts w:hint="eastAsia" w:asciiTheme="minorEastAsia" w:hAnsiTheme="minorEastAsia" w:eastAsiaTheme="minorEastAsia" w:cstheme="minorEastAsia"/>
          <w:b/>
          <w:bCs/>
          <w:i w:val="0"/>
          <w:iCs w:val="0"/>
          <w:caps w:val="0"/>
          <w:spacing w:val="0"/>
          <w:kern w:val="0"/>
          <w:sz w:val="28"/>
          <w:szCs w:val="28"/>
          <w:shd w:val="clear" w:fill="FFFFFF"/>
          <w:lang w:val="en-US" w:eastAsia="zh-CN" w:bidi="ar"/>
        </w:rPr>
      </w:pPr>
      <w:r>
        <w:rPr>
          <w:rFonts w:hint="eastAsia" w:asciiTheme="minorEastAsia" w:hAnsiTheme="minorEastAsia" w:eastAsiaTheme="minorEastAsia" w:cstheme="minorEastAsia"/>
          <w:b/>
          <w:bCs/>
          <w:i w:val="0"/>
          <w:iCs w:val="0"/>
          <w:caps w:val="0"/>
          <w:spacing w:val="0"/>
          <w:kern w:val="0"/>
          <w:sz w:val="28"/>
          <w:szCs w:val="28"/>
          <w:shd w:val="clear" w:fill="FFFFFF"/>
          <w:lang w:val="en-US" w:eastAsia="zh-CN" w:bidi="ar"/>
        </w:rPr>
        <w:t>喜讯丨数字金融产业学院师生在2023年福建省大中专学生志愿者暑期“三下乡”社会实践系列活动中喜获佳绩</w:t>
      </w:r>
    </w:p>
    <w:p>
      <w:pPr>
        <w:pStyle w:val="2"/>
        <w:rPr>
          <w:rFonts w:hint="eastAsi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t>近日，团省委通报表扬在2023年福建省大中专学生志愿者暑期“三下乡”社会实践系列活动中表现突出的集体和个人。其中，数字金融产业学院陈雨芯老师荣获“2023年福建省‘三下乡’社会实践先进工作者”，2019级(五年专）现代物流管理专业缪正林同学荣获“2023年福建省‘三下乡’社会实践先进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drawing>
          <wp:inline distT="0" distB="0" distL="114300" distR="114300">
            <wp:extent cx="3810000" cy="4048125"/>
            <wp:effectExtent l="0" t="0" r="0"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3810000" cy="40481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Theme="minorEastAsia" w:hAnsiTheme="minorEastAsia" w:eastAsiaTheme="minorEastAsia" w:cstheme="minorEastAsia"/>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drawing>
          <wp:inline distT="0" distB="0" distL="114300" distR="114300">
            <wp:extent cx="3810000" cy="4057650"/>
            <wp:effectExtent l="0" t="0" r="0" b="1143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6"/>
                    <a:stretch>
                      <a:fillRect/>
                    </a:stretch>
                  </pic:blipFill>
                  <pic:spPr>
                    <a:xfrm>
                      <a:off x="0" y="0"/>
                      <a:ext cx="3810000" cy="405765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t>2023年，数字金融产业学院团委以学习贯彻习近平新时代中国特色社会主义思想主题教育为主线，组织“小太阳暑期社会实践队”“青苗乡村振兴社会实践服务队”等3支“三下乡”社会实践队伍前往宁德屏南等各地开展一系列新模式、接地气、能推广的实践活动，期间，共发布宣传报道40余篇，进一步扩大了学院实践活动的宣传面和影响力。今后，数字金融产业学院团委将不断探索“三下乡”社会实践新模式，引领广大青年学生上好与现实相结合的“大思政课”，在社会课堂中“受教育、长才干、作贡献”，学有所长，学有所为，坚定不移听党话、跟党走，在全面建设社会主义现代化国家的火热实践中贡献青春力量。</w:t>
      </w:r>
    </w:p>
    <w:p>
      <w:pPr>
        <w:pStyle w:val="2"/>
        <w:rPr>
          <w:rFonts w:hint="eastAsia" w:asciiTheme="minorEastAsia" w:hAnsiTheme="minorEastAsia" w:eastAsiaTheme="minorEastAsia" w:cstheme="minorEastAsia"/>
          <w:sz w:val="28"/>
          <w:szCs w:val="28"/>
        </w:rPr>
        <w:sectPr>
          <w:pgSz w:w="11906" w:h="16838"/>
          <w:pgMar w:top="1440" w:right="1800" w:bottom="1440" w:left="1800" w:header="851" w:footer="992" w:gutter="0"/>
          <w:cols w:space="425" w:num="1"/>
          <w:docGrid w:type="lines" w:linePitch="312" w:charSpace="0"/>
        </w:sectPr>
      </w:pPr>
    </w:p>
    <w:p>
      <w:pPr>
        <w:keepNext w:val="0"/>
        <w:keepLines w:val="0"/>
        <w:widowControl/>
        <w:suppressLineNumbers w:val="0"/>
        <w:shd w:val="clear" w:fill="FFFFFF"/>
        <w:ind w:left="0" w:firstLine="0"/>
        <w:jc w:val="center"/>
        <w:rPr>
          <w:rFonts w:hint="eastAsia" w:asciiTheme="minorEastAsia" w:hAnsiTheme="minorEastAsia" w:eastAsiaTheme="minorEastAsia" w:cstheme="minorEastAsia"/>
          <w:b/>
          <w:bCs/>
          <w:i w:val="0"/>
          <w:iCs w:val="0"/>
          <w:caps w:val="0"/>
          <w:spacing w:val="0"/>
          <w:sz w:val="28"/>
          <w:szCs w:val="28"/>
        </w:rPr>
      </w:pPr>
      <w:r>
        <w:rPr>
          <w:rFonts w:hint="eastAsia" w:asciiTheme="minorEastAsia" w:hAnsiTheme="minorEastAsia" w:eastAsiaTheme="minorEastAsia" w:cstheme="minorEastAsia"/>
          <w:b/>
          <w:bCs/>
          <w:i w:val="0"/>
          <w:iCs w:val="0"/>
          <w:caps w:val="0"/>
          <w:spacing w:val="0"/>
          <w:kern w:val="0"/>
          <w:sz w:val="28"/>
          <w:szCs w:val="28"/>
          <w:shd w:val="clear" w:fill="FFFFFF"/>
          <w:lang w:val="en-US" w:eastAsia="zh-CN" w:bidi="ar"/>
        </w:rPr>
        <w:t>喜讯 | 我校游戏产业学院师生参加2024年福建省职业院校技能大赛（高职组）“文化艺术”专业大类荣获多个奖项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rPr>
          <w:rFonts w:hint="eastAsia" w:asciiTheme="minorEastAsia" w:hAnsiTheme="minorEastAsia" w:eastAsiaTheme="minorEastAsia" w:cstheme="minorEastAsia"/>
          <w:i w:val="0"/>
          <w:iCs w:val="0"/>
          <w:caps w:val="0"/>
          <w:color w:val="212529"/>
          <w:spacing w:val="0"/>
          <w:sz w:val="28"/>
          <w:szCs w:val="28"/>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t>2024年1月5日，经福建省职业院校技能大赛组委会发文《关于2024年度福建省职业院校技能大赛拟获奖名单的公示》，在2023年12月18日至29日的福建省职业院校技能大赛“文化艺术”专业大类中，我校游戏产业学院师生队伍于数字艺术设计赛项中获得二等奖一项、视觉艺术设计赛项中获得三等奖二项、环境艺术设计赛项中获得优秀奖一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drawing>
          <wp:inline distT="0" distB="0" distL="114300" distR="114300">
            <wp:extent cx="4762500" cy="3219450"/>
            <wp:effectExtent l="0" t="0" r="7620" b="11430"/>
            <wp:docPr id="5" name="图片 3" descr="图片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1.png"/>
                    <pic:cNvPicPr>
                      <a:picLocks noChangeAspect="1"/>
                    </pic:cNvPicPr>
                  </pic:nvPicPr>
                  <pic:blipFill>
                    <a:blip r:embed="rId7"/>
                    <a:stretch>
                      <a:fillRect/>
                    </a:stretch>
                  </pic:blipFill>
                  <pic:spPr>
                    <a:xfrm>
                      <a:off x="0" y="0"/>
                      <a:ext cx="4762500" cy="3219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drawing>
          <wp:inline distT="0" distB="0" distL="114300" distR="114300">
            <wp:extent cx="4762500" cy="1638300"/>
            <wp:effectExtent l="0" t="0" r="7620" b="7620"/>
            <wp:docPr id="6" name="图片 4" descr="图片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图片2.png"/>
                    <pic:cNvPicPr>
                      <a:picLocks noChangeAspect="1"/>
                    </pic:cNvPicPr>
                  </pic:nvPicPr>
                  <pic:blipFill>
                    <a:blip r:embed="rId8"/>
                    <a:stretch>
                      <a:fillRect/>
                    </a:stretch>
                  </pic:blipFill>
                  <pic:spPr>
                    <a:xfrm>
                      <a:off x="0" y="0"/>
                      <a:ext cx="4762500" cy="1638300"/>
                    </a:xfrm>
                    <a:prstGeom prst="rect">
                      <a:avLst/>
                    </a:prstGeom>
                    <a:noFill/>
                    <a:ln w="9525">
                      <a:noFill/>
                    </a:ln>
                  </pic:spPr>
                </pic:pic>
              </a:graphicData>
            </a:graphic>
          </wp:inline>
        </w:drawing>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t>据悉，本届福建省职业院校技能大赛包含中职组17个专业大类34个赛项，高职组18个专业大类79个赛项，全面落实全国职业教育大会精神和《国家职业教育改革实施方案》等文件有关要求，旨在深化我省职业教育教学改革，激发青年学生学习职业技能的积极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iCs w:val="0"/>
          <w:caps w:val="0"/>
          <w:color w:val="212529"/>
          <w:spacing w:val="0"/>
          <w:sz w:val="28"/>
          <w:szCs w:val="28"/>
          <w:shd w:val="clear" w:fill="FFFFFF"/>
        </w:rPr>
        <w:t>本次技能比赛充分展现出游戏产业学院师生团队扎实的知识功底、创新的教学方法与良好精神风貌。游戏产业学院将以本次比赛获奖为契机，提升技术技能人才培养质量，弘扬工匠精神，不断推进人才培养模式创新发展、专业建设与教育教学改革，进而为学校双高建设工作、区域经济社会发展助力赋能。</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NzUxNjdhNWQ1OTA2ZjZhYzA3N2QwMTI1OGZhNGEifQ=="/>
  </w:docVars>
  <w:rsids>
    <w:rsidRoot w:val="00000000"/>
    <w:rsid w:val="26067C07"/>
    <w:rsid w:val="2A275984"/>
    <w:rsid w:val="44294490"/>
    <w:rsid w:val="712C34C4"/>
    <w:rsid w:val="76B30292"/>
    <w:rsid w:val="773D1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qFormat/>
    <w:uiPriority w:val="0"/>
    <w:pPr>
      <w:ind w:firstLine="420" w:firstLineChars="100"/>
    </w:pPr>
    <w:rPr>
      <w:rFonts w:ascii="Calibri" w:hAnsi="Calibri" w:eastAsia="宋体" w:cs="Times New Roman"/>
      <w:kern w:val="0"/>
      <w:sz w:val="20"/>
      <w:szCs w:val="20"/>
    </w:rPr>
  </w:style>
  <w:style w:type="paragraph" w:styleId="3">
    <w:name w:val="Body Text"/>
    <w:basedOn w:val="1"/>
    <w:next w:val="1"/>
    <w:qFormat/>
    <w:uiPriority w:val="0"/>
    <w:pPr>
      <w:ind w:left="140"/>
    </w:pPr>
    <w:rPr>
      <w:rFonts w:ascii="宋体" w:hAnsi="宋体" w:eastAsia="宋体" w:cs="Times New Roman"/>
      <w:sz w:val="32"/>
      <w:szCs w:val="32"/>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1222</Words>
  <Characters>1270</Characters>
  <Lines>0</Lines>
  <Paragraphs>0</Paragraphs>
  <TotalTime>2</TotalTime>
  <ScaleCrop>false</ScaleCrop>
  <LinksUpToDate>false</LinksUpToDate>
  <CharactersWithSpaces>1278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2023-11-20T03:41:00Z</dcterms:created>
  <dc:creator>16273</dc:creator>
  <cp:lastModifiedBy>歪歪</cp:lastModifiedBy>
  <dcterms:modified xsi:type="dcterms:W3CDTF">2024-06-25T06:18:47Z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9E76CD809B5140BBA5A3AA12E3E90F3B_13</vt:lpwstr>
  </property>
</Properties>
</file>