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00" w:beforeLines="0" w:beforeAutospacing="1" w:after="100" w:afterLines="0" w:afterAutospacing="1" w:line="336" w:lineRule="auto"/>
        <w:jc w:val="center"/>
        <w:rPr>
          <w:rFonts w:hint="eastAsia" w:ascii="宋体" w:hAnsi="宋体" w:eastAsia="宋体"/>
          <w:b/>
          <w:color w:val="FF0000"/>
          <w:sz w:val="72"/>
          <w:szCs w:val="72"/>
          <w:lang w:eastAsia="zh-CN"/>
        </w:rPr>
      </w:pPr>
      <w:r>
        <w:rPr>
          <w:rFonts w:hint="eastAsia" w:ascii="宋体" w:hAnsi="宋体" w:eastAsia="宋体"/>
          <w:b/>
          <w:color w:val="FF0000"/>
          <w:sz w:val="72"/>
          <w:szCs w:val="72"/>
          <w:lang w:eastAsia="zh-CN"/>
        </w:rPr>
        <w:drawing>
          <wp:inline distT="0" distB="0" distL="114300" distR="114300">
            <wp:extent cx="3329940" cy="953135"/>
            <wp:effectExtent l="0" t="0" r="0" b="0"/>
            <wp:docPr id="1" name="图片 1" descr="校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校标2"/>
                    <pic:cNvPicPr>
                      <a:picLocks noChangeAspect="1"/>
                    </pic:cNvPicPr>
                  </pic:nvPicPr>
                  <pic:blipFill>
                    <a:blip r:embed="rId5"/>
                    <a:stretch>
                      <a:fillRect/>
                    </a:stretch>
                  </pic:blipFill>
                  <pic:spPr>
                    <a:xfrm>
                      <a:off x="0" y="0"/>
                      <a:ext cx="3329940" cy="953135"/>
                    </a:xfrm>
                    <a:prstGeom prst="rect">
                      <a:avLst/>
                    </a:prstGeom>
                    <a:noFill/>
                    <a:ln w="9525">
                      <a:noFill/>
                    </a:ln>
                  </pic:spPr>
                </pic:pic>
              </a:graphicData>
            </a:graphic>
          </wp:inline>
        </w:drawing>
      </w:r>
    </w:p>
    <w:p>
      <w:pPr>
        <w:spacing w:before="100" w:beforeLines="0" w:beforeAutospacing="1" w:after="100" w:afterLines="0" w:afterAutospacing="1"/>
        <w:jc w:val="center"/>
        <w:rPr>
          <w:rFonts w:hint="eastAsia" w:ascii="宋体" w:hAnsi="宋体"/>
          <w:b/>
          <w:color w:val="FF0000"/>
          <w:sz w:val="104"/>
          <w:szCs w:val="84"/>
        </w:rPr>
      </w:pPr>
      <w:r>
        <w:rPr>
          <w:rFonts w:hint="eastAsia" w:ascii="宋体" w:hAnsi="宋体"/>
          <w:b/>
          <w:color w:val="FF0000"/>
          <w:sz w:val="104"/>
          <w:szCs w:val="84"/>
        </w:rPr>
        <w:t>评建工作简报</w:t>
      </w:r>
    </w:p>
    <w:p>
      <w:pPr>
        <w:spacing w:before="100" w:beforeLines="0" w:beforeAutospacing="1" w:after="100" w:afterLines="0" w:afterAutospacing="1" w:line="500" w:lineRule="exact"/>
        <w:jc w:val="center"/>
        <w:rPr>
          <w:rFonts w:hint="eastAsia" w:ascii="宋体" w:hAnsi="宋体" w:eastAsia="宋体"/>
          <w:sz w:val="30"/>
          <w:szCs w:val="30"/>
          <w:lang w:eastAsia="zh-CN"/>
        </w:rPr>
      </w:pPr>
      <w:r>
        <w:rPr>
          <w:rFonts w:hint="eastAsia" w:ascii="宋体" w:hAnsi="宋体"/>
          <w:color w:val="000000"/>
          <w:sz w:val="30"/>
          <w:szCs w:val="30"/>
        </w:rPr>
        <w:t>第</w:t>
      </w:r>
      <w:r>
        <w:rPr>
          <w:rFonts w:hint="eastAsia" w:ascii="宋体" w:hAnsi="宋体"/>
          <w:color w:val="000000"/>
          <w:sz w:val="30"/>
          <w:szCs w:val="30"/>
          <w:lang w:val="en-US" w:eastAsia="zh-CN"/>
        </w:rPr>
        <w:t>二十五</w:t>
      </w:r>
      <w:r>
        <w:rPr>
          <w:rFonts w:hint="eastAsia" w:ascii="宋体" w:hAnsi="宋体"/>
          <w:color w:val="000000"/>
          <w:sz w:val="30"/>
          <w:szCs w:val="30"/>
        </w:rPr>
        <w:t>期</w:t>
      </w:r>
    </w:p>
    <w:p>
      <w:pPr>
        <w:spacing w:before="100" w:beforeLines="0" w:beforeAutospacing="1" w:after="100" w:afterLines="0" w:afterAutospacing="1" w:line="500" w:lineRule="exact"/>
        <w:jc w:val="left"/>
        <w:rPr>
          <w:rFonts w:hint="eastAsia" w:ascii="宋体" w:hAnsi="宋体"/>
          <w:color w:val="000000"/>
          <w:sz w:val="30"/>
          <w:szCs w:val="30"/>
        </w:rPr>
      </w:pPr>
      <w:r>
        <w:rPr>
          <w:rFonts w:hint="eastAsia" w:ascii="宋体" w:hAnsi="宋体"/>
          <w:color w:val="000000"/>
          <w:sz w:val="30"/>
          <w:szCs w:val="30"/>
        </w:rPr>
        <w:t>福州</w:t>
      </w:r>
      <w:r>
        <w:rPr>
          <w:rFonts w:hint="eastAsia" w:ascii="宋体" w:hAnsi="宋体"/>
          <w:color w:val="000000"/>
          <w:sz w:val="30"/>
          <w:szCs w:val="30"/>
          <w:lang w:eastAsia="zh-CN"/>
        </w:rPr>
        <w:t>软件</w:t>
      </w:r>
      <w:r>
        <w:rPr>
          <w:rFonts w:hint="eastAsia" w:ascii="宋体" w:hAnsi="宋体"/>
          <w:color w:val="000000"/>
          <w:sz w:val="30"/>
          <w:szCs w:val="30"/>
        </w:rPr>
        <w:t>职业技术学院评建工作办公室编   20</w:t>
      </w:r>
      <w:r>
        <w:rPr>
          <w:rFonts w:hint="eastAsia" w:ascii="宋体" w:hAnsi="宋体"/>
          <w:color w:val="000000"/>
          <w:sz w:val="30"/>
          <w:szCs w:val="30"/>
          <w:lang w:val="en-US" w:eastAsia="zh-CN"/>
        </w:rPr>
        <w:t>21年4</w:t>
      </w:r>
      <w:r>
        <w:rPr>
          <w:rFonts w:hint="eastAsia" w:ascii="宋体" w:hAnsi="宋体"/>
          <w:color w:val="000000"/>
          <w:sz w:val="30"/>
          <w:szCs w:val="30"/>
        </w:rPr>
        <w:t>月</w:t>
      </w:r>
      <w:r>
        <w:rPr>
          <w:rFonts w:hint="eastAsia" w:ascii="宋体" w:hAnsi="宋体"/>
          <w:color w:val="000000"/>
          <w:sz w:val="30"/>
          <w:szCs w:val="30"/>
          <w:lang w:val="en-US" w:eastAsia="zh-CN"/>
        </w:rPr>
        <w:t>17</w:t>
      </w:r>
      <w:r>
        <w:rPr>
          <w:rFonts w:hint="eastAsia" w:ascii="宋体" w:hAnsi="宋体"/>
          <w:color w:val="000000"/>
          <w:sz w:val="30"/>
          <w:szCs w:val="30"/>
        </w:rPr>
        <w:t>日</w:t>
      </w:r>
    </w:p>
    <w:p>
      <w:pPr>
        <w:spacing w:before="100" w:beforeLines="0" w:beforeAutospacing="1" w:after="100" w:afterLines="0" w:afterAutospacing="1" w:line="500" w:lineRule="exact"/>
        <w:jc w:val="left"/>
        <w:rPr>
          <w:rFonts w:hint="eastAsia"/>
          <w:color w:val="000000"/>
          <w:sz w:val="30"/>
          <w:szCs w:val="30"/>
        </w:rPr>
      </w:pPr>
      <w:r>
        <w:rPr>
          <w:sz w:val="30"/>
        </w:rPr>
        <mc:AlternateContent>
          <mc:Choice Requires="wps">
            <w:drawing>
              <wp:inline distT="0" distB="0" distL="114300" distR="114300">
                <wp:extent cx="5257800" cy="0"/>
                <wp:effectExtent l="0" t="9525" r="0" b="13335"/>
                <wp:docPr id="3" name="直接连接符 3"/>
                <wp:cNvGraphicFramePr/>
                <a:graphic xmlns:a="http://schemas.openxmlformats.org/drawingml/2006/main">
                  <a:graphicData uri="http://schemas.microsoft.com/office/word/2010/wordprocessingShape">
                    <wps:wsp>
                      <wps:cNvCnPr/>
                      <wps:spPr>
                        <a:xfrm>
                          <a:off x="1143000" y="4100195"/>
                          <a:ext cx="5257800" cy="0"/>
                        </a:xfrm>
                        <a:prstGeom prst="line">
                          <a:avLst/>
                        </a:prstGeom>
                        <a:ln w="19050" cap="flat" cmpd="sng">
                          <a:solidFill>
                            <a:srgbClr val="FF0000"/>
                          </a:solidFill>
                          <a:prstDash val="solid"/>
                          <a:headEnd type="none" w="med" len="med"/>
                          <a:tailEnd type="none" w="med" len="med"/>
                        </a:ln>
                      </wps:spPr>
                      <wps:bodyPr upright="1"/>
                    </wps:wsp>
                  </a:graphicData>
                </a:graphic>
              </wp:inline>
            </w:drawing>
          </mc:Choice>
          <mc:Fallback>
            <w:pict>
              <v:line id="_x0000_s1026" o:spid="_x0000_s1026" o:spt="20" style="height:0pt;width:414pt;" filled="f" stroked="t" coordsize="21600,21600" o:gfxdata="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Ent1/nSAAAAAgEAAA8AAAAAAAAAAQAgAAAAIgAAAGRycy9kb3ducmV2&#10;LnhtbFBLAQIUABQAAAAIAIdO4kAWtEcgAgIAAPEDAAAOAAAAAAAAAAEAIAAAACEBAABkcnMvZTJv&#10;RG9jLnhtbFBLBQYAAAAABgAGAFkBAACVBQAAAAA=&#10;">
                <v:fill on="f" focussize="0,0"/>
                <v:stroke weight="1.5pt" color="#FF0000" joinstyle="round"/>
                <v:imagedata o:title=""/>
                <o:lock v:ext="edit" aspectratio="f"/>
                <w10:wrap type="none"/>
                <w10:anchorlock/>
              </v:line>
            </w:pict>
          </mc:Fallback>
        </mc:AlternateContent>
      </w:r>
    </w:p>
    <w:p>
      <w:pPr>
        <w:spacing w:before="100" w:beforeLines="0" w:beforeAutospacing="1" w:after="100" w:afterLines="0" w:afterAutospacing="1" w:line="400" w:lineRule="exact"/>
        <w:jc w:val="left"/>
        <w:rPr>
          <w:color w:val="000000"/>
          <w:sz w:val="30"/>
          <w:szCs w:val="30"/>
        </w:rPr>
      </w:pPr>
      <w:r>
        <w:rPr>
          <w:rFonts w:hint="eastAsia" w:ascii="黑体" w:eastAsia="黑体"/>
          <w:b/>
          <w:color w:val="000000"/>
          <w:sz w:val="24"/>
          <w:lang w:val="en-US" w:eastAsia="zh-CN"/>
        </w:rPr>
        <w:t xml:space="preserve">    </w:t>
      </w:r>
      <w:r>
        <w:rPr>
          <w:rFonts w:ascii="黑体" w:eastAsia="黑体"/>
          <w:b/>
          <w:color w:val="000000"/>
          <w:sz w:val="24"/>
        </w:rPr>
        <w:t>[编者语]</w:t>
      </w:r>
      <w:r>
        <w:rPr>
          <w:rFonts w:ascii="黑体" w:eastAsia="黑体"/>
          <w:color w:val="000000"/>
          <w:sz w:val="24"/>
        </w:rPr>
        <w:t xml:space="preserve"> </w:t>
      </w:r>
      <w:r>
        <w:rPr>
          <w:rFonts w:hint="eastAsia" w:ascii="黑体" w:eastAsia="黑体"/>
          <w:color w:val="000000"/>
          <w:sz w:val="24"/>
        </w:rPr>
        <w:t>《评建工作简报》是为配合我院迎接高职高专人才培养工作评估而编发的，旨在及时传达教育部、省教育厅有关指示精神和学院的相关规定，反映学院迎接高职高专人才培养工作评估的动态，服务于学院教育教学改革和评建工作，以期达到“以评促建、以评促改、以评促管、</w:t>
      </w:r>
      <w:r>
        <w:rPr>
          <w:rFonts w:hint="eastAsia" w:ascii="黑体" w:eastAsia="黑体"/>
          <w:color w:val="000000"/>
          <w:sz w:val="24"/>
          <w:lang w:val="en-US" w:eastAsia="zh-CN"/>
        </w:rPr>
        <w:t>以评促强</w:t>
      </w:r>
      <w:bookmarkStart w:id="5" w:name="_GoBack"/>
      <w:bookmarkEnd w:id="5"/>
      <w:r>
        <w:rPr>
          <w:rFonts w:hint="eastAsia" w:ascii="黑体" w:eastAsia="黑体"/>
          <w:color w:val="000000"/>
          <w:sz w:val="24"/>
        </w:rPr>
        <w:t>”的目的，促进我院教育教学工作迈上新台阶。</w:t>
      </w:r>
    </w:p>
    <w:p>
      <w:pPr>
        <w:spacing w:before="100" w:beforeLines="0" w:beforeAutospacing="1" w:after="100" w:afterLines="0" w:afterAutospacing="1" w:line="360" w:lineRule="auto"/>
        <w:ind w:firstLine="470" w:firstLineChars="196"/>
        <w:rPr>
          <w:rFonts w:ascii="Arial Unicode MS" w:hAnsi="Arial Unicode MS"/>
          <w:sz w:val="24"/>
        </w:rPr>
      </w:pPr>
      <w:r>
        <w:rPr>
          <w:rFonts w:hint="eastAsia" w:ascii="黑体" w:eastAsia="黑体"/>
          <w:color w:val="000000"/>
          <w:sz w:val="24"/>
        </w:rPr>
        <w:t>我们欢迎各位读者提出宝贵意见和建议，并提供有关评建工作的信息。</w:t>
      </w:r>
      <w:r>
        <w:rPr>
          <w:b/>
          <w:color w:val="000000"/>
        </w:rPr>
        <w:t xml:space="preserve">        </w:t>
      </w:r>
    </w:p>
    <w:p>
      <w:pPr>
        <w:keepNext w:val="0"/>
        <w:keepLines w:val="0"/>
        <w:pageBreakBefore w:val="0"/>
        <w:kinsoku/>
        <w:wordWrap/>
        <w:overflowPunct/>
        <w:topLinePunct w:val="0"/>
        <w:autoSpaceDE/>
        <w:autoSpaceDN/>
        <w:bidi w:val="0"/>
        <w:adjustRightInd/>
        <w:snapToGrid/>
        <w:spacing w:line="480" w:lineRule="auto"/>
        <w:ind w:firstLine="480" w:firstLineChars="200"/>
        <w:jc w:val="center"/>
        <w:textAlignment w:val="auto"/>
      </w:pPr>
      <w:r>
        <w:rPr>
          <w:sz w:val="24"/>
        </w:rPr>
        <mc:AlternateContent>
          <mc:Choice Requires="wps">
            <w:drawing>
              <wp:anchor distT="0" distB="0" distL="114300" distR="114300" simplePos="0" relativeHeight="251661312" behindDoc="0" locked="0" layoutInCell="1" allowOverlap="1">
                <wp:simplePos x="0" y="0"/>
                <wp:positionH relativeFrom="column">
                  <wp:posOffset>93345</wp:posOffset>
                </wp:positionH>
                <wp:positionV relativeFrom="paragraph">
                  <wp:posOffset>394970</wp:posOffset>
                </wp:positionV>
                <wp:extent cx="5316855" cy="1696720"/>
                <wp:effectExtent l="4445" t="4445" r="12700" b="5715"/>
                <wp:wrapNone/>
                <wp:docPr id="80" name="文本框 80"/>
                <wp:cNvGraphicFramePr/>
                <a:graphic xmlns:a="http://schemas.openxmlformats.org/drawingml/2006/main">
                  <a:graphicData uri="http://schemas.microsoft.com/office/word/2010/wordprocessingShape">
                    <wps:wsp>
                      <wps:cNvSpPr txBox="1"/>
                      <wps:spPr>
                        <a:xfrm>
                          <a:off x="1236345" y="6619240"/>
                          <a:ext cx="5316855" cy="1696720"/>
                        </a:xfrm>
                        <a:prstGeom prst="rect">
                          <a:avLst/>
                        </a:prstGeom>
                        <a:solidFill>
                          <a:schemeClr val="lt1"/>
                        </a:solidFill>
                        <a:ln w="6350">
                          <a:solidFill>
                            <a:schemeClr val="accent6"/>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suppressLineNumbers w:val="0"/>
                              <w:kinsoku/>
                              <w:wordWrap/>
                              <w:overflowPunct/>
                              <w:topLinePunct w:val="0"/>
                              <w:autoSpaceDE/>
                              <w:autoSpaceDN/>
                              <w:bidi w:val="0"/>
                              <w:adjustRightInd/>
                              <w:snapToGrid/>
                              <w:spacing w:line="480" w:lineRule="auto"/>
                              <w:ind w:firstLine="632" w:firstLineChars="300"/>
                              <w:jc w:val="left"/>
                              <w:textAlignment w:val="auto"/>
                              <w:outlineLvl w:val="1"/>
                              <w:rPr>
                                <w:rFonts w:hint="eastAsia" w:ascii="宋体" w:hAnsi="宋体" w:eastAsia="宋体" w:cs="宋体"/>
                                <w:b/>
                                <w:bCs/>
                                <w:color w:val="000000"/>
                                <w:kern w:val="2"/>
                                <w:sz w:val="21"/>
                                <w:szCs w:val="21"/>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i w:val="0"/>
                                <w:iCs w:val="0"/>
                                <w:caps w:val="0"/>
                                <w:color w:val="333333"/>
                                <w:spacing w:val="8"/>
                                <w:sz w:val="21"/>
                                <w:szCs w:val="21"/>
                                <w:shd w:val="clear" w:color="auto" w:fill="FFFFFF"/>
                                <w:lang w:val="en-US" w:eastAsia="zh-CN"/>
                              </w:rPr>
                              <w:t>我院获得“</w:t>
                            </w:r>
                            <w:r>
                              <w:rPr>
                                <w:rFonts w:hint="eastAsia" w:ascii="宋体" w:hAnsi="宋体" w:eastAsia="宋体" w:cs="宋体"/>
                                <w:b/>
                                <w:bCs/>
                                <w:sz w:val="21"/>
                                <w:szCs w:val="21"/>
                                <w:lang w:val="en-US" w:eastAsia="zh-CN"/>
                              </w:rPr>
                              <w:t>2021城市天梯电子竞技大赛</w:t>
                            </w:r>
                            <w:r>
                              <w:rPr>
                                <w:rFonts w:hint="eastAsia" w:ascii="宋体" w:hAnsi="宋体" w:eastAsia="宋体" w:cs="宋体"/>
                                <w:b w:val="0"/>
                                <w:bCs w:val="0"/>
                                <w:sz w:val="21"/>
                                <w:szCs w:val="21"/>
                                <w:lang w:val="en-US" w:eastAsia="zh-CN"/>
                              </w:rPr>
                              <w:t>·</w:t>
                            </w:r>
                            <w:r>
                              <w:rPr>
                                <w:rFonts w:hint="eastAsia" w:ascii="宋体" w:hAnsi="宋体" w:eastAsia="宋体" w:cs="宋体"/>
                                <w:b/>
                                <w:bCs/>
                                <w:sz w:val="21"/>
                                <w:szCs w:val="21"/>
                                <w:lang w:val="en-US" w:eastAsia="zh-CN"/>
                              </w:rPr>
                              <w:t>福州站”首轮海选赛胜利</w:t>
                            </w:r>
                          </w:p>
                          <w:p>
                            <w:pPr>
                              <w:pStyle w:val="2"/>
                              <w:spacing w:line="480" w:lineRule="auto"/>
                              <w:ind w:left="0" w:leftChars="0" w:firstLine="632" w:firstLineChars="300"/>
                              <w:jc w:val="left"/>
                              <w:outlineLvl w:val="1"/>
                              <w:rPr>
                                <w:rFonts w:hint="eastAsia" w:ascii="宋体" w:hAnsi="宋体" w:eastAsia="宋体" w:cs="宋体"/>
                                <w:b/>
                                <w:bCs/>
                                <w:color w:val="000000"/>
                                <w:kern w:val="2"/>
                                <w:sz w:val="21"/>
                                <w:szCs w:val="21"/>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sz w:val="21"/>
                                <w:szCs w:val="21"/>
                                <w:lang w:val="en-US" w:eastAsia="zh-CN"/>
                              </w:rPr>
                              <w:t>我院召开纪念建党100周年系列活动启动仪式暨党史学习教育动员大会</w:t>
                            </w:r>
                          </w:p>
                          <w:p>
                            <w:pPr>
                              <w:keepNext w:val="0"/>
                              <w:keepLines w:val="0"/>
                              <w:widowControl w:val="0"/>
                              <w:suppressLineNumbers w:val="0"/>
                              <w:spacing w:before="0" w:beforeAutospacing="0" w:after="0" w:afterAutospacing="0" w:line="480" w:lineRule="auto"/>
                              <w:ind w:left="841" w:leftChars="300" w:right="0" w:hanging="211" w:hangingChars="100"/>
                              <w:jc w:val="left"/>
                              <w:rPr>
                                <w:rFonts w:hint="eastAsia" w:ascii="宋体" w:hAnsi="宋体" w:eastAsia="宋体" w:cs="宋体"/>
                                <w:b/>
                                <w:bCs/>
                                <w:sz w:val="21"/>
                                <w:szCs w:val="21"/>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sz w:val="21"/>
                                <w:szCs w:val="21"/>
                                <w:lang w:val="en-US" w:eastAsia="zh-CN"/>
                              </w:rPr>
                              <w:t>我院与福建海洋</w:t>
                            </w:r>
                            <w:r>
                              <w:rPr>
                                <w:rFonts w:hint="eastAsia" w:ascii="宋体" w:hAnsi="宋体" w:eastAsia="宋体" w:cs="宋体"/>
                                <w:b/>
                                <w:bCs/>
                                <w:sz w:val="21"/>
                                <w:szCs w:val="21"/>
                                <w:highlight w:val="none"/>
                                <w:lang w:val="en-US" w:eastAsia="zh-CN"/>
                              </w:rPr>
                              <w:t>职业技术学校</w:t>
                            </w:r>
                            <w:r>
                              <w:rPr>
                                <w:rFonts w:hint="eastAsia" w:ascii="宋体" w:hAnsi="宋体" w:eastAsia="宋体" w:cs="宋体"/>
                                <w:b/>
                                <w:bCs/>
                                <w:sz w:val="21"/>
                                <w:szCs w:val="21"/>
                                <w:lang w:val="en-US" w:eastAsia="zh-CN"/>
                              </w:rPr>
                              <w:t>举行“3+2”分段培养合作洽谈会</w:t>
                            </w:r>
                          </w:p>
                          <w:p>
                            <w:pPr>
                              <w:pStyle w:val="2"/>
                              <w:spacing w:line="480" w:lineRule="auto"/>
                              <w:ind w:left="0" w:leftChars="0" w:firstLine="632" w:firstLineChars="300"/>
                              <w:jc w:val="left"/>
                              <w:rPr>
                                <w:rFonts w:hint="eastAsia" w:ascii="宋体" w:hAnsi="宋体" w:eastAsia="宋体" w:cs="宋体"/>
                                <w:b/>
                                <w:bCs/>
                                <w:sz w:val="21"/>
                                <w:szCs w:val="21"/>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sz w:val="21"/>
                                <w:szCs w:val="21"/>
                                <w:lang w:val="en-US" w:eastAsia="zh-CN"/>
                              </w:rPr>
                              <w:t>我院开展各高职分类考试考点招生宣传活动</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632" w:firstLineChars="300"/>
                              <w:jc w:val="both"/>
                              <w:textAlignment w:val="auto"/>
                              <w:outlineLvl w:val="1"/>
                              <w:rPr>
                                <w:rFonts w:hint="default" w:ascii="Wingdings" w:hAnsi="Wingdings" w:eastAsia="宋体" w:cs="Wingdings"/>
                                <w:b/>
                                <w:bCs/>
                                <w:color w:val="000000"/>
                                <w:kern w:val="2"/>
                                <w:sz w:val="21"/>
                                <w:szCs w:val="21"/>
                                <w:lang w:val="en-US" w:eastAsia="zh-CN" w:bidi="ar"/>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35pt;margin-top:31.1pt;height:133.6pt;width:418.65pt;z-index:251661312;mso-width-relative:page;mso-height-relative:page;" fillcolor="#FFFFFF [3201]" filled="t" stroked="t" coordsize="21600,21600" o:gfxdata="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too1ddcAAAAJAQAADwAAAAAAAAABACAAAAAiAAAAZHJzL2Rvd25yZXYueG1sUEsB&#10;AhQAFAAAAAgAh07iQBSnHFxoAgAAxwQAAA4AAAAAAAAAAQAgAAAAJgEAAGRycy9lMm9Eb2MueG1s&#10;UEsFBgAAAAAGAAYAWQEAAAAGAAAAAA==&#10;">
                <v:fill on="t" focussize="0,0"/>
                <v:stroke weight="0.5pt" color="#70AD47 [3209]" joinstyle="round"/>
                <v:imagedata o:title=""/>
                <o:lock v:ext="edit" aspectratio="f"/>
                <v:textbox>
                  <w:txbxContent>
                    <w:p>
                      <w:pPr>
                        <w:keepNext w:val="0"/>
                        <w:keepLines w:val="0"/>
                        <w:pageBreakBefore w:val="0"/>
                        <w:widowControl/>
                        <w:suppressLineNumbers w:val="0"/>
                        <w:kinsoku/>
                        <w:wordWrap/>
                        <w:overflowPunct/>
                        <w:topLinePunct w:val="0"/>
                        <w:autoSpaceDE/>
                        <w:autoSpaceDN/>
                        <w:bidi w:val="0"/>
                        <w:adjustRightInd/>
                        <w:snapToGrid/>
                        <w:spacing w:line="480" w:lineRule="auto"/>
                        <w:ind w:firstLine="632" w:firstLineChars="300"/>
                        <w:jc w:val="left"/>
                        <w:textAlignment w:val="auto"/>
                        <w:outlineLvl w:val="1"/>
                        <w:rPr>
                          <w:rFonts w:hint="eastAsia" w:ascii="宋体" w:hAnsi="宋体" w:eastAsia="宋体" w:cs="宋体"/>
                          <w:b/>
                          <w:bCs/>
                          <w:color w:val="000000"/>
                          <w:kern w:val="2"/>
                          <w:sz w:val="21"/>
                          <w:szCs w:val="21"/>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i w:val="0"/>
                          <w:iCs w:val="0"/>
                          <w:caps w:val="0"/>
                          <w:color w:val="333333"/>
                          <w:spacing w:val="8"/>
                          <w:sz w:val="21"/>
                          <w:szCs w:val="21"/>
                          <w:shd w:val="clear" w:color="auto" w:fill="FFFFFF"/>
                          <w:lang w:val="en-US" w:eastAsia="zh-CN"/>
                        </w:rPr>
                        <w:t>我院获得“</w:t>
                      </w:r>
                      <w:r>
                        <w:rPr>
                          <w:rFonts w:hint="eastAsia" w:ascii="宋体" w:hAnsi="宋体" w:eastAsia="宋体" w:cs="宋体"/>
                          <w:b/>
                          <w:bCs/>
                          <w:sz w:val="21"/>
                          <w:szCs w:val="21"/>
                          <w:lang w:val="en-US" w:eastAsia="zh-CN"/>
                        </w:rPr>
                        <w:t>2021城市天梯电子竞技大赛</w:t>
                      </w:r>
                      <w:r>
                        <w:rPr>
                          <w:rFonts w:hint="eastAsia" w:ascii="宋体" w:hAnsi="宋体" w:eastAsia="宋体" w:cs="宋体"/>
                          <w:b w:val="0"/>
                          <w:bCs w:val="0"/>
                          <w:sz w:val="21"/>
                          <w:szCs w:val="21"/>
                          <w:lang w:val="en-US" w:eastAsia="zh-CN"/>
                        </w:rPr>
                        <w:t>·</w:t>
                      </w:r>
                      <w:r>
                        <w:rPr>
                          <w:rFonts w:hint="eastAsia" w:ascii="宋体" w:hAnsi="宋体" w:eastAsia="宋体" w:cs="宋体"/>
                          <w:b/>
                          <w:bCs/>
                          <w:sz w:val="21"/>
                          <w:szCs w:val="21"/>
                          <w:lang w:val="en-US" w:eastAsia="zh-CN"/>
                        </w:rPr>
                        <w:t>福州站”首轮海选赛胜利</w:t>
                      </w:r>
                    </w:p>
                    <w:p>
                      <w:pPr>
                        <w:pStyle w:val="2"/>
                        <w:spacing w:line="480" w:lineRule="auto"/>
                        <w:ind w:left="0" w:leftChars="0" w:firstLine="632" w:firstLineChars="300"/>
                        <w:jc w:val="left"/>
                        <w:outlineLvl w:val="1"/>
                        <w:rPr>
                          <w:rFonts w:hint="eastAsia" w:ascii="宋体" w:hAnsi="宋体" w:eastAsia="宋体" w:cs="宋体"/>
                          <w:b/>
                          <w:bCs/>
                          <w:color w:val="000000"/>
                          <w:kern w:val="2"/>
                          <w:sz w:val="21"/>
                          <w:szCs w:val="21"/>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sz w:val="21"/>
                          <w:szCs w:val="21"/>
                          <w:lang w:val="en-US" w:eastAsia="zh-CN"/>
                        </w:rPr>
                        <w:t>我院召开纪念建党100周年系列活动启动仪式暨党史学习教育动员大会</w:t>
                      </w:r>
                    </w:p>
                    <w:p>
                      <w:pPr>
                        <w:keepNext w:val="0"/>
                        <w:keepLines w:val="0"/>
                        <w:widowControl w:val="0"/>
                        <w:suppressLineNumbers w:val="0"/>
                        <w:spacing w:before="0" w:beforeAutospacing="0" w:after="0" w:afterAutospacing="0" w:line="480" w:lineRule="auto"/>
                        <w:ind w:left="841" w:leftChars="300" w:right="0" w:hanging="211" w:hangingChars="100"/>
                        <w:jc w:val="left"/>
                        <w:rPr>
                          <w:rFonts w:hint="eastAsia" w:ascii="宋体" w:hAnsi="宋体" w:eastAsia="宋体" w:cs="宋体"/>
                          <w:b/>
                          <w:bCs/>
                          <w:sz w:val="21"/>
                          <w:szCs w:val="21"/>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sz w:val="21"/>
                          <w:szCs w:val="21"/>
                          <w:lang w:val="en-US" w:eastAsia="zh-CN"/>
                        </w:rPr>
                        <w:t>我院与福建海洋</w:t>
                      </w:r>
                      <w:r>
                        <w:rPr>
                          <w:rFonts w:hint="eastAsia" w:ascii="宋体" w:hAnsi="宋体" w:eastAsia="宋体" w:cs="宋体"/>
                          <w:b/>
                          <w:bCs/>
                          <w:sz w:val="21"/>
                          <w:szCs w:val="21"/>
                          <w:highlight w:val="none"/>
                          <w:lang w:val="en-US" w:eastAsia="zh-CN"/>
                        </w:rPr>
                        <w:t>职业技术学校</w:t>
                      </w:r>
                      <w:r>
                        <w:rPr>
                          <w:rFonts w:hint="eastAsia" w:ascii="宋体" w:hAnsi="宋体" w:eastAsia="宋体" w:cs="宋体"/>
                          <w:b/>
                          <w:bCs/>
                          <w:sz w:val="21"/>
                          <w:szCs w:val="21"/>
                          <w:lang w:val="en-US" w:eastAsia="zh-CN"/>
                        </w:rPr>
                        <w:t>举行“3+2”分段培养合作洽谈会</w:t>
                      </w:r>
                    </w:p>
                    <w:p>
                      <w:pPr>
                        <w:pStyle w:val="2"/>
                        <w:spacing w:line="480" w:lineRule="auto"/>
                        <w:ind w:left="0" w:leftChars="0" w:firstLine="632" w:firstLineChars="300"/>
                        <w:jc w:val="left"/>
                        <w:rPr>
                          <w:rFonts w:hint="eastAsia" w:ascii="宋体" w:hAnsi="宋体" w:eastAsia="宋体" w:cs="宋体"/>
                          <w:b/>
                          <w:bCs/>
                          <w:sz w:val="21"/>
                          <w:szCs w:val="21"/>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sz w:val="21"/>
                          <w:szCs w:val="21"/>
                          <w:lang w:val="en-US" w:eastAsia="zh-CN"/>
                        </w:rPr>
                        <w:t>我院开展各高职分类考试考点招生宣传活动</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632" w:firstLineChars="300"/>
                        <w:jc w:val="both"/>
                        <w:textAlignment w:val="auto"/>
                        <w:outlineLvl w:val="1"/>
                        <w:rPr>
                          <w:rFonts w:hint="default" w:ascii="Wingdings" w:hAnsi="Wingdings" w:eastAsia="宋体" w:cs="Wingdings"/>
                          <w:b/>
                          <w:bCs/>
                          <w:color w:val="000000"/>
                          <w:kern w:val="2"/>
                          <w:sz w:val="21"/>
                          <w:szCs w:val="21"/>
                          <w:lang w:val="en-US" w:eastAsia="zh-CN" w:bidi="ar"/>
                        </w:rPr>
                      </w:pPr>
                    </w:p>
                  </w:txbxContent>
                </v:textbox>
              </v:shape>
            </w:pict>
          </mc:Fallback>
        </mc:AlternateContent>
      </w:r>
      <w:r>
        <w:br w:type="page"/>
      </w:r>
    </w:p>
    <w:p>
      <w:pPr>
        <w:pStyle w:val="2"/>
        <w:ind w:left="0" w:leftChars="0" w:firstLine="0" w:firstLineChars="0"/>
        <w:jc w:val="center"/>
        <w:outlineLvl w:val="0"/>
        <w:rPr>
          <w:rFonts w:hint="eastAsia" w:ascii="宋体" w:hAnsi="宋体" w:eastAsia="宋体" w:cs="宋体"/>
          <w:b/>
          <w:bCs/>
          <w:sz w:val="28"/>
          <w:szCs w:val="28"/>
          <w:lang w:val="en-US"/>
        </w:rPr>
      </w:pPr>
      <w:bookmarkStart w:id="0" w:name="_Toc30572"/>
      <w:r>
        <w:rPr>
          <w:rFonts w:hint="eastAsia" w:ascii="宋体" w:hAnsi="宋体" w:eastAsia="宋体" w:cs="宋体"/>
          <w:b/>
          <w:bCs/>
          <w:i w:val="0"/>
          <w:iCs w:val="0"/>
          <w:caps w:val="0"/>
          <w:color w:val="333333"/>
          <w:spacing w:val="8"/>
          <w:sz w:val="28"/>
          <w:szCs w:val="28"/>
          <w:shd w:val="clear" w:color="auto" w:fill="FFFFFF"/>
          <w:lang w:val="en-US" w:eastAsia="zh-CN"/>
        </w:rPr>
        <w:t>我院获得“</w:t>
      </w:r>
      <w:r>
        <w:rPr>
          <w:rFonts w:hint="eastAsia" w:ascii="宋体" w:hAnsi="宋体" w:eastAsia="宋体" w:cs="宋体"/>
          <w:b/>
          <w:bCs/>
          <w:sz w:val="28"/>
          <w:szCs w:val="28"/>
          <w:lang w:val="en-US" w:eastAsia="zh-CN"/>
        </w:rPr>
        <w:t>2021城市天梯电子竞技大赛</w:t>
      </w:r>
      <w:r>
        <w:rPr>
          <w:rFonts w:hint="eastAsia" w:ascii="宋体" w:hAnsi="宋体" w:eastAsia="宋体" w:cs="宋体"/>
          <w:b w:val="0"/>
          <w:bCs w:val="0"/>
          <w:sz w:val="28"/>
          <w:szCs w:val="28"/>
          <w:lang w:val="en-US" w:eastAsia="zh-CN"/>
        </w:rPr>
        <w:t>·</w:t>
      </w:r>
      <w:r>
        <w:rPr>
          <w:rFonts w:hint="eastAsia" w:ascii="宋体" w:hAnsi="宋体" w:eastAsia="宋体" w:cs="宋体"/>
          <w:b/>
          <w:bCs/>
          <w:sz w:val="28"/>
          <w:szCs w:val="28"/>
          <w:lang w:val="en-US" w:eastAsia="zh-CN"/>
        </w:rPr>
        <w:t>福州站”首轮海选赛胜利</w:t>
      </w:r>
      <w:bookmarkEnd w:id="0"/>
    </w:p>
    <w:p>
      <w:pPr>
        <w:pStyle w:val="2"/>
        <w:ind w:left="0" w:leftChars="0" w:firstLine="0" w:firstLineChars="0"/>
        <w:jc w:val="center"/>
        <w:rPr>
          <w:rFonts w:hint="eastAsia" w:ascii="宋体" w:hAnsi="宋体" w:eastAsia="宋体" w:cs="宋体"/>
          <w:b/>
          <w:bCs/>
          <w:sz w:val="28"/>
          <w:szCs w:val="28"/>
        </w:rPr>
      </w:pPr>
    </w:p>
    <w:p>
      <w:pPr>
        <w:pStyle w:val="2"/>
        <w:keepNext w:val="0"/>
        <w:keepLines w:val="0"/>
        <w:pageBreakBefore w:val="0"/>
        <w:widowControl/>
        <w:kinsoku/>
        <w:wordWrap/>
        <w:overflowPunct/>
        <w:topLinePunct w:val="0"/>
        <w:autoSpaceDE/>
        <w:autoSpaceDN/>
        <w:bidi w:val="0"/>
        <w:adjustRightInd/>
        <w:snapToGrid/>
        <w:spacing w:line="308" w:lineRule="auto"/>
        <w:ind w:left="0" w:leftChars="0" w:firstLine="560" w:firstLineChars="200"/>
        <w:jc w:val="both"/>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2021年3月27日，由教务处处长林土水老师领队，游戏产业学院教师庄橼、王兴为跟赛教练,我院NDG战队在“2021城市天梯电子竞技大赛·福州站”首轮海选赛中，以2:1成绩战胜农大战队，获得首轮胜利。“2021城市天梯电子竞技大赛”秉承促进福州电竞发展的宗旨，定位大型城市级联赛，比赛分为春季和秋季赛两个赛季，我院参与的福州站赛事共有80支战队参赛，涵盖职业战队、社会爱好者战队、高校战队等。</w:t>
      </w:r>
    </w:p>
    <w:p>
      <w:pPr>
        <w:pStyle w:val="2"/>
        <w:jc w:val="center"/>
        <w:rPr>
          <w:rFonts w:hint="eastAsia" w:ascii="宋体" w:hAnsi="宋体" w:eastAsia="宋体" w:cs="宋体"/>
          <w:b w:val="0"/>
          <w:bCs w:val="0"/>
          <w:sz w:val="28"/>
          <w:szCs w:val="28"/>
          <w:lang w:val="en-US" w:eastAsia="zh-CN"/>
        </w:rPr>
      </w:pPr>
    </w:p>
    <w:p>
      <w:pPr>
        <w:pStyle w:val="2"/>
        <w:jc w:val="center"/>
        <w:rPr>
          <w:rFonts w:hint="eastAsia" w:ascii="宋体" w:hAnsi="宋体" w:eastAsia="宋体" w:cs="宋体"/>
          <w:b w:val="0"/>
          <w:bCs w:val="0"/>
          <w:sz w:val="28"/>
          <w:szCs w:val="28"/>
          <w:lang w:val="en-US" w:eastAsia="zh-CN"/>
        </w:rPr>
      </w:pPr>
    </w:p>
    <w:p>
      <w:pPr>
        <w:pStyle w:val="2"/>
        <w:jc w:val="center"/>
        <w:outlineLvl w:val="1"/>
        <w:rPr>
          <w:rFonts w:hint="eastAsia" w:ascii="宋体" w:hAnsi="宋体" w:eastAsia="宋体" w:cs="宋体"/>
          <w:b/>
          <w:bCs/>
          <w:sz w:val="28"/>
          <w:szCs w:val="28"/>
          <w:lang w:val="en-US" w:eastAsia="zh-CN"/>
        </w:rPr>
      </w:pPr>
      <w:bookmarkStart w:id="1" w:name="_Toc17927"/>
      <w:r>
        <w:rPr>
          <w:rFonts w:hint="eastAsia" w:ascii="宋体" w:hAnsi="宋体" w:eastAsia="宋体" w:cs="宋体"/>
          <w:b/>
          <w:bCs/>
          <w:sz w:val="28"/>
          <w:szCs w:val="28"/>
          <w:lang w:val="en-US" w:eastAsia="zh-CN"/>
        </w:rPr>
        <w:t>我院召开纪念建党100周年系列活动启动仪式</w:t>
      </w:r>
      <w:bookmarkEnd w:id="1"/>
    </w:p>
    <w:p>
      <w:pPr>
        <w:pStyle w:val="2"/>
        <w:jc w:val="center"/>
        <w:outlineLvl w:val="1"/>
        <w:rPr>
          <w:rFonts w:hint="eastAsia" w:ascii="宋体" w:hAnsi="宋体" w:eastAsia="宋体" w:cs="宋体"/>
          <w:b/>
          <w:bCs/>
          <w:sz w:val="28"/>
          <w:szCs w:val="28"/>
          <w:lang w:val="en-US" w:eastAsia="zh-CN"/>
        </w:rPr>
      </w:pPr>
      <w:bookmarkStart w:id="2" w:name="_Toc20566"/>
      <w:r>
        <w:rPr>
          <w:rFonts w:hint="eastAsia" w:ascii="宋体" w:hAnsi="宋体" w:eastAsia="宋体" w:cs="宋体"/>
          <w:b/>
          <w:bCs/>
          <w:sz w:val="28"/>
          <w:szCs w:val="28"/>
          <w:lang w:val="en-US" w:eastAsia="zh-CN"/>
        </w:rPr>
        <w:t>暨党史学习教育动员大会</w:t>
      </w:r>
      <w:bookmarkEnd w:id="2"/>
    </w:p>
    <w:p>
      <w:pPr>
        <w:pStyle w:val="2"/>
        <w:jc w:val="center"/>
        <w:rPr>
          <w:rFonts w:hint="eastAsia" w:ascii="宋体" w:hAnsi="宋体" w:eastAsia="宋体" w:cs="宋体"/>
          <w:b/>
          <w:bCs/>
          <w:sz w:val="28"/>
          <w:szCs w:val="28"/>
          <w:lang w:val="en-US" w:eastAsia="zh-CN"/>
        </w:rPr>
      </w:pPr>
    </w:p>
    <w:p>
      <w:pPr>
        <w:pStyle w:val="2"/>
        <w:ind w:left="0" w:leftChars="0" w:firstLine="0" w:firstLineChars="0"/>
        <w:jc w:val="both"/>
        <w:rPr>
          <w:rFonts w:hint="eastAsia" w:ascii="宋体" w:hAnsi="宋体" w:eastAsia="宋体" w:cs="宋体"/>
          <w:b/>
          <w:bCs/>
          <w:sz w:val="28"/>
          <w:szCs w:val="28"/>
          <w:lang w:val="en-US" w:eastAsia="zh-CN"/>
        </w:rPr>
      </w:pPr>
    </w:p>
    <w:p>
      <w:pPr>
        <w:pStyle w:val="2"/>
        <w:keepNext w:val="0"/>
        <w:keepLines w:val="0"/>
        <w:pageBreakBefore w:val="0"/>
        <w:widowControl/>
        <w:kinsoku/>
        <w:wordWrap/>
        <w:overflowPunct/>
        <w:topLinePunct w:val="0"/>
        <w:autoSpaceDE/>
        <w:autoSpaceDN/>
        <w:bidi w:val="0"/>
        <w:adjustRightInd/>
        <w:snapToGrid/>
        <w:spacing w:line="308" w:lineRule="auto"/>
        <w:ind w:left="0" w:leftChars="0" w:firstLine="560" w:firstLineChars="200"/>
        <w:jc w:val="both"/>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2021年3月31日下午，我院隆重举行纪念建党100周年系列活动启动仪式暨党史学习教育动员大会。学院党政领导、党委委员、院长助理、各党总支副书记、党支部书记、各二级教学单位（部门）负责人、全体辅导员参加会议。会议由党委工作部、党委宣传部部长郑凯源主持。</w:t>
      </w:r>
    </w:p>
    <w:p>
      <w:pPr>
        <w:pStyle w:val="2"/>
        <w:ind w:left="0" w:leftChars="0" w:firstLine="0" w:firstLineChars="0"/>
        <w:jc w:val="center"/>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drawing>
          <wp:inline distT="0" distB="0" distL="0" distR="0">
            <wp:extent cx="3959860" cy="2628900"/>
            <wp:effectExtent l="0" t="0" r="2540" b="0"/>
            <wp:docPr id="1072" name="图片 38" descr="图片1"/>
            <wp:cNvGraphicFramePr/>
            <a:graphic xmlns:a="http://schemas.openxmlformats.org/drawingml/2006/main">
              <a:graphicData uri="http://schemas.openxmlformats.org/drawingml/2006/picture">
                <pic:pic xmlns:pic="http://schemas.openxmlformats.org/drawingml/2006/picture">
                  <pic:nvPicPr>
                    <pic:cNvPr id="1072" name="图片 38" descr="图片1"/>
                    <pic:cNvPicPr/>
                  </pic:nvPicPr>
                  <pic:blipFill>
                    <a:blip r:embed="rId6" cstate="print"/>
                    <a:srcRect/>
                    <a:stretch>
                      <a:fillRect/>
                    </a:stretch>
                  </pic:blipFill>
                  <pic:spPr>
                    <a:xfrm>
                      <a:off x="0" y="0"/>
                      <a:ext cx="3959860" cy="2628900"/>
                    </a:xfrm>
                    <a:prstGeom prst="rect">
                      <a:avLst/>
                    </a:prstGeom>
                  </pic:spPr>
                </pic:pic>
              </a:graphicData>
            </a:graphic>
          </wp:inline>
        </w:drawing>
      </w:r>
    </w:p>
    <w:p>
      <w:pPr>
        <w:pStyle w:val="2"/>
        <w:keepNext w:val="0"/>
        <w:keepLines w:val="0"/>
        <w:pageBreakBefore w:val="0"/>
        <w:widowControl/>
        <w:kinsoku/>
        <w:wordWrap/>
        <w:overflowPunct/>
        <w:topLinePunct w:val="0"/>
        <w:autoSpaceDE/>
        <w:autoSpaceDN/>
        <w:bidi w:val="0"/>
        <w:adjustRightInd/>
        <w:snapToGrid/>
        <w:spacing w:line="308" w:lineRule="auto"/>
        <w:ind w:left="0" w:leftChars="0" w:firstLine="560" w:firstLineChars="200"/>
        <w:jc w:val="both"/>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会上，学院党委书记王卫旗就学院纪念建党100周年系列活动启动和党史学习教育</w:t>
      </w:r>
      <w:r>
        <w:rPr>
          <w:rFonts w:hint="eastAsia" w:ascii="宋体" w:hAnsi="宋体" w:eastAsia="宋体" w:cs="宋体"/>
          <w:b w:val="0"/>
          <w:bCs w:val="0"/>
          <w:sz w:val="28"/>
          <w:szCs w:val="28"/>
          <w:highlight w:val="none"/>
          <w:lang w:val="en-US" w:eastAsia="zh-CN"/>
        </w:rPr>
        <w:t>作动员</w:t>
      </w:r>
      <w:r>
        <w:rPr>
          <w:rFonts w:hint="eastAsia" w:ascii="宋体" w:hAnsi="宋体" w:eastAsia="宋体" w:cs="宋体"/>
          <w:b w:val="0"/>
          <w:bCs w:val="0"/>
          <w:sz w:val="28"/>
          <w:szCs w:val="28"/>
          <w:lang w:val="en-US" w:eastAsia="zh-CN"/>
        </w:rPr>
        <w:t>讲话，并就扎实做好我院纪念建党100周年系列活动和党史学习教育工作，提出五点要求：一是要牢记初心使命，正确认识党史学习教育的重大意义；二是要准确把握党史学习教育的目标要求，将目标要求落实到立德树人根本任务上来；三是要准确把握党史学习教育的主题主线，确保党史学习教育取得实效。四是要切实把握庆祝纪念活动总基调，广泛开展纪念建党100周年师生庆祝活动。五是要全面加强师生学习教育，营造党史学习教育的浓厚氛围。</w:t>
      </w:r>
    </w:p>
    <w:p>
      <w:pPr>
        <w:pStyle w:val="2"/>
        <w:ind w:left="0" w:leftChars="0" w:firstLine="0" w:firstLineChars="0"/>
        <w:jc w:val="center"/>
        <w:rPr>
          <w:rFonts w:hint="eastAsia" w:ascii="宋体" w:hAnsi="宋体" w:eastAsia="宋体" w:cs="宋体"/>
          <w:i w:val="0"/>
          <w:iCs w:val="0"/>
          <w:caps w:val="0"/>
          <w:color w:val="333333"/>
          <w:spacing w:val="15"/>
          <w:sz w:val="28"/>
          <w:szCs w:val="28"/>
          <w:shd w:val="clear" w:color="auto" w:fill="FFFFFF"/>
          <w:lang w:eastAsia="zh-CN"/>
        </w:rPr>
      </w:pPr>
      <w:r>
        <w:rPr>
          <w:rFonts w:hint="eastAsia" w:ascii="宋体" w:hAnsi="宋体" w:eastAsia="宋体" w:cs="宋体"/>
          <w:i w:val="0"/>
          <w:iCs w:val="0"/>
          <w:caps w:val="0"/>
          <w:color w:val="333333"/>
          <w:spacing w:val="15"/>
          <w:sz w:val="28"/>
          <w:szCs w:val="28"/>
          <w:shd w:val="clear" w:color="auto" w:fill="FFFFFF"/>
          <w:lang w:eastAsia="zh-CN"/>
        </w:rPr>
        <w:drawing>
          <wp:inline distT="0" distB="0" distL="0" distR="0">
            <wp:extent cx="3959860" cy="2654300"/>
            <wp:effectExtent l="0" t="0" r="2540" b="12700"/>
            <wp:docPr id="1073" name="图片 39" descr="图片2"/>
            <wp:cNvGraphicFramePr/>
            <a:graphic xmlns:a="http://schemas.openxmlformats.org/drawingml/2006/main">
              <a:graphicData uri="http://schemas.openxmlformats.org/drawingml/2006/picture">
                <pic:pic xmlns:pic="http://schemas.openxmlformats.org/drawingml/2006/picture">
                  <pic:nvPicPr>
                    <pic:cNvPr id="1073" name="图片 39" descr="图片2"/>
                    <pic:cNvPicPr/>
                  </pic:nvPicPr>
                  <pic:blipFill>
                    <a:blip r:embed="rId7" cstate="print"/>
                    <a:srcRect/>
                    <a:stretch>
                      <a:fillRect/>
                    </a:stretch>
                  </pic:blipFill>
                  <pic:spPr>
                    <a:xfrm>
                      <a:off x="0" y="0"/>
                      <a:ext cx="3959860" cy="2654300"/>
                    </a:xfrm>
                    <a:prstGeom prst="rect">
                      <a:avLst/>
                    </a:prstGeom>
                  </pic:spPr>
                </pic:pic>
              </a:graphicData>
            </a:graphic>
          </wp:inline>
        </w:drawing>
      </w:r>
    </w:p>
    <w:p>
      <w:pPr>
        <w:pStyle w:val="2"/>
        <w:keepNext w:val="0"/>
        <w:keepLines w:val="0"/>
        <w:pageBreakBefore w:val="0"/>
        <w:widowControl/>
        <w:kinsoku/>
        <w:wordWrap/>
        <w:overflowPunct/>
        <w:topLinePunct w:val="0"/>
        <w:autoSpaceDE/>
        <w:autoSpaceDN/>
        <w:bidi w:val="0"/>
        <w:adjustRightInd/>
        <w:snapToGrid/>
        <w:spacing w:line="308" w:lineRule="auto"/>
        <w:ind w:left="0" w:leftChars="0" w:firstLine="560" w:firstLineChars="200"/>
        <w:jc w:val="both"/>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学院党委副书记刘建华在会上介绍我院纪念建党100周年系列活动、党史学习教育的有关工作安排。希望各职能部门立足岗位实际，通过专题学习教育、五四红歌汇、主题画展等活动，把迎接建党百年与党史学习教育结合起来，切实抓好各项工作的组织领导，确保工作成效，以饱满昂扬的斗志共同推动学院高质量发展。</w:t>
      </w:r>
    </w:p>
    <w:p>
      <w:pPr>
        <w:pStyle w:val="2"/>
        <w:ind w:left="0" w:leftChars="0" w:firstLine="0" w:firstLineChars="0"/>
        <w:jc w:val="center"/>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drawing>
          <wp:inline distT="0" distB="0" distL="0" distR="0">
            <wp:extent cx="3959860" cy="2442845"/>
            <wp:effectExtent l="0" t="0" r="2540" b="14605"/>
            <wp:docPr id="1074" name="图片 40" descr="图片3"/>
            <wp:cNvGraphicFramePr/>
            <a:graphic xmlns:a="http://schemas.openxmlformats.org/drawingml/2006/main">
              <a:graphicData uri="http://schemas.openxmlformats.org/drawingml/2006/picture">
                <pic:pic xmlns:pic="http://schemas.openxmlformats.org/drawingml/2006/picture">
                  <pic:nvPicPr>
                    <pic:cNvPr id="1074" name="图片 40" descr="图片3"/>
                    <pic:cNvPicPr/>
                  </pic:nvPicPr>
                  <pic:blipFill>
                    <a:blip r:embed="rId8" cstate="print"/>
                    <a:srcRect/>
                    <a:stretch>
                      <a:fillRect/>
                    </a:stretch>
                  </pic:blipFill>
                  <pic:spPr>
                    <a:xfrm>
                      <a:off x="0" y="0"/>
                      <a:ext cx="3959860" cy="2442845"/>
                    </a:xfrm>
                    <a:prstGeom prst="rect">
                      <a:avLst/>
                    </a:prstGeom>
                  </pic:spPr>
                </pic:pic>
              </a:graphicData>
            </a:graphic>
          </wp:inline>
        </w:drawing>
      </w:r>
    </w:p>
    <w:p>
      <w:pPr>
        <w:pStyle w:val="2"/>
        <w:ind w:left="0" w:leftChars="0" w:firstLine="0" w:firstLineChars="0"/>
        <w:jc w:val="center"/>
        <w:rPr>
          <w:rFonts w:hint="eastAsia" w:ascii="宋体" w:hAnsi="宋体" w:eastAsia="宋体" w:cs="宋体"/>
          <w:b w:val="0"/>
          <w:bCs w:val="0"/>
          <w:sz w:val="28"/>
          <w:szCs w:val="28"/>
          <w:lang w:val="en-US" w:eastAsia="zh-CN"/>
        </w:rPr>
      </w:pPr>
    </w:p>
    <w:p>
      <w:pPr>
        <w:pStyle w:val="2"/>
        <w:ind w:left="0" w:leftChars="0" w:firstLine="0" w:firstLineChars="0"/>
        <w:jc w:val="center"/>
        <w:rPr>
          <w:rFonts w:hint="eastAsia" w:ascii="宋体" w:hAnsi="宋体" w:eastAsia="宋体" w:cs="宋体"/>
          <w:b w:val="0"/>
          <w:bCs w:val="0"/>
          <w:sz w:val="28"/>
          <w:szCs w:val="28"/>
          <w:lang w:val="en-US" w:eastAsia="zh-CN"/>
        </w:rPr>
      </w:pPr>
    </w:p>
    <w:p>
      <w:pPr>
        <w:pStyle w:val="2"/>
        <w:ind w:left="0" w:leftChars="0" w:firstLine="0" w:firstLineChars="0"/>
        <w:jc w:val="center"/>
        <w:outlineLvl w:val="1"/>
        <w:rPr>
          <w:rFonts w:hint="eastAsia" w:ascii="宋体" w:hAnsi="宋体" w:eastAsia="宋体" w:cs="宋体"/>
          <w:b/>
          <w:bCs/>
          <w:sz w:val="28"/>
          <w:szCs w:val="28"/>
          <w:lang w:val="en-US" w:eastAsia="zh-CN"/>
        </w:rPr>
      </w:pPr>
      <w:bookmarkStart w:id="3" w:name="_Toc6199"/>
      <w:r>
        <w:rPr>
          <w:rFonts w:hint="eastAsia" w:ascii="宋体" w:hAnsi="宋体" w:eastAsia="宋体" w:cs="宋体"/>
          <w:b/>
          <w:bCs/>
          <w:sz w:val="28"/>
          <w:szCs w:val="28"/>
          <w:lang w:val="en-US" w:eastAsia="zh-CN"/>
        </w:rPr>
        <w:t>我院与福建海洋</w:t>
      </w:r>
      <w:r>
        <w:rPr>
          <w:rFonts w:hint="eastAsia" w:ascii="宋体" w:hAnsi="宋体" w:eastAsia="宋体" w:cs="宋体"/>
          <w:b/>
          <w:bCs/>
          <w:sz w:val="28"/>
          <w:szCs w:val="28"/>
          <w:highlight w:val="none"/>
          <w:lang w:val="en-US" w:eastAsia="zh-CN"/>
        </w:rPr>
        <w:t>职业技术学校</w:t>
      </w:r>
      <w:r>
        <w:rPr>
          <w:rFonts w:hint="eastAsia" w:ascii="宋体" w:hAnsi="宋体" w:eastAsia="宋体" w:cs="宋体"/>
          <w:b/>
          <w:bCs/>
          <w:sz w:val="28"/>
          <w:szCs w:val="28"/>
          <w:lang w:val="en-US" w:eastAsia="zh-CN"/>
        </w:rPr>
        <w:t>举行“3+2”分段培养合作洽谈会</w:t>
      </w:r>
      <w:bookmarkEnd w:id="3"/>
    </w:p>
    <w:p>
      <w:pPr>
        <w:pStyle w:val="2"/>
        <w:ind w:left="0" w:leftChars="0" w:firstLine="0" w:firstLineChars="0"/>
        <w:jc w:val="both"/>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autoSpaceDE/>
        <w:autoSpaceDN/>
        <w:bidi w:val="0"/>
        <w:adjustRightInd/>
        <w:snapToGrid/>
        <w:spacing w:line="308"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rPr>
        <w:t>2021年4月1日，我院与福建海洋</w:t>
      </w:r>
      <w:r>
        <w:rPr>
          <w:rFonts w:hint="eastAsia" w:ascii="宋体" w:hAnsi="宋体" w:eastAsia="宋体" w:cs="宋体"/>
          <w:sz w:val="28"/>
          <w:szCs w:val="28"/>
          <w:highlight w:val="none"/>
        </w:rPr>
        <w:t>职业技术学校</w:t>
      </w:r>
      <w:r>
        <w:rPr>
          <w:rFonts w:hint="eastAsia" w:ascii="宋体" w:hAnsi="宋体" w:eastAsia="宋体" w:cs="宋体"/>
          <w:sz w:val="28"/>
          <w:szCs w:val="28"/>
        </w:rPr>
        <w:t>举行“3+2”分段培养合作洽谈会，会议由我院职业培训处处长夏副顺主持。参加会议的有我院执行院长俞发仁、院长助理柯建琳、职业培训处副处长郑宇怀、招生就业处处长李硕、招生就业处副处长黄巍炜、招生就业处黄信权，福建海洋</w:t>
      </w:r>
      <w:r>
        <w:rPr>
          <w:rFonts w:hint="eastAsia" w:ascii="宋体" w:hAnsi="宋体" w:eastAsia="宋体" w:cs="宋体"/>
          <w:sz w:val="28"/>
          <w:szCs w:val="28"/>
          <w:highlight w:val="none"/>
        </w:rPr>
        <w:t>职业技术学校</w:t>
      </w:r>
      <w:r>
        <w:rPr>
          <w:rFonts w:hint="eastAsia" w:ascii="宋体" w:hAnsi="宋体" w:eastAsia="宋体" w:cs="宋体"/>
          <w:sz w:val="28"/>
          <w:szCs w:val="28"/>
        </w:rPr>
        <w:t>党委书记李水根、副书记林声华、副校长李美亭、招生就业科科长林富凛、办公室老师郑碧菊</w:t>
      </w:r>
      <w:r>
        <w:rPr>
          <w:rFonts w:hint="eastAsia" w:ascii="宋体" w:hAnsi="宋体" w:eastAsia="宋体" w:cs="宋体"/>
          <w:sz w:val="28"/>
          <w:szCs w:val="28"/>
          <w:lang w:eastAsia="zh-CN"/>
        </w:rPr>
        <w:t>。</w:t>
      </w:r>
    </w:p>
    <w:p>
      <w:pPr>
        <w:pStyle w:val="2"/>
        <w:ind w:left="0" w:leftChars="0" w:firstLine="0" w:firstLineChars="0"/>
        <w:jc w:val="center"/>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drawing>
          <wp:inline distT="0" distB="0" distL="0" distR="0">
            <wp:extent cx="3959860" cy="2969895"/>
            <wp:effectExtent l="0" t="0" r="2540" b="1905"/>
            <wp:docPr id="1075" name="图片 41" descr="图片4"/>
            <wp:cNvGraphicFramePr/>
            <a:graphic xmlns:a="http://schemas.openxmlformats.org/drawingml/2006/main">
              <a:graphicData uri="http://schemas.openxmlformats.org/drawingml/2006/picture">
                <pic:pic xmlns:pic="http://schemas.openxmlformats.org/drawingml/2006/picture">
                  <pic:nvPicPr>
                    <pic:cNvPr id="1075" name="图片 41" descr="图片4"/>
                    <pic:cNvPicPr/>
                  </pic:nvPicPr>
                  <pic:blipFill>
                    <a:blip r:embed="rId9" cstate="print"/>
                    <a:srcRect/>
                    <a:stretch>
                      <a:fillRect/>
                    </a:stretch>
                  </pic:blipFill>
                  <pic:spPr>
                    <a:xfrm>
                      <a:off x="0" y="0"/>
                      <a:ext cx="3959860" cy="2969895"/>
                    </a:xfrm>
                    <a:prstGeom prst="rect">
                      <a:avLst/>
                    </a:prstGeom>
                  </pic:spPr>
                </pic:pic>
              </a:graphicData>
            </a:graphic>
          </wp:inline>
        </w:drawing>
      </w:r>
    </w:p>
    <w:p>
      <w:pPr>
        <w:pStyle w:val="2"/>
        <w:keepNext w:val="0"/>
        <w:keepLines w:val="0"/>
        <w:pageBreakBefore w:val="0"/>
        <w:widowControl/>
        <w:kinsoku/>
        <w:wordWrap/>
        <w:overflowPunct/>
        <w:topLinePunct w:val="0"/>
        <w:autoSpaceDE/>
        <w:autoSpaceDN/>
        <w:bidi w:val="0"/>
        <w:adjustRightInd/>
        <w:snapToGrid/>
        <w:spacing w:line="308" w:lineRule="auto"/>
        <w:ind w:left="0" w:leftChars="0" w:firstLine="562" w:firstLineChars="200"/>
        <w:jc w:val="center"/>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autoSpaceDE/>
        <w:autoSpaceDN/>
        <w:bidi w:val="0"/>
        <w:adjustRightInd/>
        <w:snapToGrid/>
        <w:spacing w:line="308"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我院执行院长俞发仁简要介绍了学院办学情况及取得的教学成果，并提出双方应发挥各自优势，互通有无。在教学内容、方式及方法上力求创新，大胆引进企业参与中高职一体化教材的编写，积极联合开展教研、科研课题研究，推进实训基地、师资等方面工作互融互通，实现优势互补，不断提升人才培养质量。</w:t>
      </w:r>
    </w:p>
    <w:p>
      <w:pPr>
        <w:keepNext w:val="0"/>
        <w:keepLines w:val="0"/>
        <w:pageBreakBefore w:val="0"/>
        <w:widowControl/>
        <w:kinsoku/>
        <w:wordWrap/>
        <w:overflowPunct/>
        <w:topLinePunct w:val="0"/>
        <w:autoSpaceDE/>
        <w:autoSpaceDN/>
        <w:bidi w:val="0"/>
        <w:adjustRightInd/>
        <w:snapToGrid/>
        <w:spacing w:line="308"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福建海洋学校校长</w:t>
      </w:r>
      <w:r>
        <w:rPr>
          <w:rFonts w:hint="eastAsia" w:ascii="宋体" w:hAnsi="宋体" w:eastAsia="宋体" w:cs="宋体"/>
          <w:sz w:val="28"/>
          <w:szCs w:val="28"/>
        </w:rPr>
        <w:t>李水根简要介绍了福建海洋学校的办学情况，突出介绍学校在基础设施建设上的优势及学生管理方面的优势，并且通过运用军事化管理手段，不断提高学生素质。</w:t>
      </w:r>
    </w:p>
    <w:p>
      <w:pPr>
        <w:keepNext w:val="0"/>
        <w:keepLines w:val="0"/>
        <w:pageBreakBefore w:val="0"/>
        <w:widowControl/>
        <w:kinsoku/>
        <w:wordWrap/>
        <w:overflowPunct/>
        <w:topLinePunct w:val="0"/>
        <w:autoSpaceDE/>
        <w:autoSpaceDN/>
        <w:bidi w:val="0"/>
        <w:adjustRightInd/>
        <w:snapToGrid/>
        <w:spacing w:line="308"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会议结束后，与会人员一起参观了学生宿舍、食堂、计算机房、VR体验中心、未来智慧教室、电竞教室及图书馆，来访学校的相关领导对我院办学条件及办学成果给予了高度评价。参观结束后，两校参会领导共同合影留念。</w:t>
      </w:r>
    </w:p>
    <w:p>
      <w:pPr>
        <w:pStyle w:val="2"/>
        <w:ind w:left="0" w:leftChars="0" w:firstLine="0" w:firstLineChars="0"/>
        <w:jc w:val="center"/>
        <w:rPr>
          <w:rFonts w:hint="eastAsia" w:ascii="宋体" w:hAnsi="宋体" w:eastAsia="宋体" w:cs="宋体"/>
          <w:i w:val="0"/>
          <w:iCs w:val="0"/>
          <w:caps w:val="0"/>
          <w:color w:val="333333"/>
          <w:spacing w:val="8"/>
          <w:sz w:val="28"/>
          <w:szCs w:val="28"/>
          <w:shd w:val="clear" w:color="auto" w:fill="FFFFFF"/>
          <w:lang w:eastAsia="zh-CN"/>
        </w:rPr>
      </w:pPr>
      <w:r>
        <w:rPr>
          <w:rFonts w:hint="eastAsia" w:ascii="宋体" w:hAnsi="宋体" w:eastAsia="宋体" w:cs="宋体"/>
          <w:i w:val="0"/>
          <w:iCs w:val="0"/>
          <w:caps w:val="0"/>
          <w:color w:val="333333"/>
          <w:spacing w:val="8"/>
          <w:sz w:val="28"/>
          <w:szCs w:val="28"/>
          <w:shd w:val="clear" w:color="auto" w:fill="FFFFFF"/>
          <w:lang w:val="en-US" w:eastAsia="zh-CN"/>
        </w:rPr>
        <w:drawing>
          <wp:inline distT="0" distB="0" distL="0" distR="0">
            <wp:extent cx="3959860" cy="2732405"/>
            <wp:effectExtent l="0" t="0" r="2540" b="10795"/>
            <wp:docPr id="1076" name="图片 51" descr="图片8"/>
            <wp:cNvGraphicFramePr/>
            <a:graphic xmlns:a="http://schemas.openxmlformats.org/drawingml/2006/main">
              <a:graphicData uri="http://schemas.openxmlformats.org/drawingml/2006/picture">
                <pic:pic xmlns:pic="http://schemas.openxmlformats.org/drawingml/2006/picture">
                  <pic:nvPicPr>
                    <pic:cNvPr id="1076" name="图片 51" descr="图片8"/>
                    <pic:cNvPicPr/>
                  </pic:nvPicPr>
                  <pic:blipFill>
                    <a:blip r:embed="rId10" cstate="print"/>
                    <a:srcRect/>
                    <a:stretch>
                      <a:fillRect/>
                    </a:stretch>
                  </pic:blipFill>
                  <pic:spPr>
                    <a:xfrm>
                      <a:off x="0" y="0"/>
                      <a:ext cx="3959860" cy="2732405"/>
                    </a:xfrm>
                    <a:prstGeom prst="rect">
                      <a:avLst/>
                    </a:prstGeom>
                  </pic:spPr>
                </pic:pic>
              </a:graphicData>
            </a:graphic>
          </wp:inline>
        </w:drawing>
      </w:r>
    </w:p>
    <w:p>
      <w:pPr>
        <w:pStyle w:val="2"/>
        <w:ind w:left="0" w:leftChars="0" w:firstLine="0" w:firstLineChars="0"/>
        <w:jc w:val="both"/>
        <w:rPr>
          <w:rFonts w:hint="eastAsia" w:ascii="宋体" w:hAnsi="宋体" w:eastAsia="宋体" w:cs="宋体"/>
          <w:i w:val="0"/>
          <w:iCs w:val="0"/>
          <w:caps w:val="0"/>
          <w:color w:val="333333"/>
          <w:spacing w:val="8"/>
          <w:sz w:val="28"/>
          <w:szCs w:val="28"/>
          <w:shd w:val="clear" w:color="auto" w:fill="FFFFFF"/>
          <w:lang w:val="en-US" w:eastAsia="zh-CN"/>
        </w:rPr>
      </w:pPr>
    </w:p>
    <w:p>
      <w:pPr>
        <w:pStyle w:val="2"/>
        <w:ind w:left="0" w:leftChars="0" w:firstLine="0" w:firstLineChars="0"/>
        <w:jc w:val="left"/>
        <w:rPr>
          <w:rFonts w:hint="eastAsia" w:ascii="宋体" w:hAnsi="宋体" w:eastAsia="宋体" w:cs="宋体"/>
          <w:b/>
          <w:bCs/>
          <w:sz w:val="28"/>
          <w:szCs w:val="28"/>
        </w:rPr>
      </w:pPr>
    </w:p>
    <w:p>
      <w:pPr>
        <w:pStyle w:val="2"/>
        <w:ind w:left="0" w:leftChars="0" w:firstLine="0" w:firstLineChars="0"/>
        <w:jc w:val="center"/>
        <w:outlineLvl w:val="1"/>
        <w:rPr>
          <w:rFonts w:hint="eastAsia" w:ascii="宋体" w:hAnsi="宋体" w:eastAsia="宋体" w:cs="宋体"/>
          <w:b/>
          <w:bCs/>
          <w:sz w:val="28"/>
          <w:szCs w:val="28"/>
          <w:lang w:val="en-US" w:eastAsia="zh-CN"/>
        </w:rPr>
      </w:pPr>
      <w:bookmarkStart w:id="4" w:name="_Toc28826"/>
      <w:r>
        <w:rPr>
          <w:rFonts w:hint="eastAsia" w:ascii="宋体" w:hAnsi="宋体" w:eastAsia="宋体" w:cs="宋体"/>
          <w:b/>
          <w:bCs/>
          <w:sz w:val="28"/>
          <w:szCs w:val="28"/>
          <w:lang w:val="en-US" w:eastAsia="zh-CN"/>
        </w:rPr>
        <w:t>我院开展各高职分类考试考点招生宣传活动</w:t>
      </w:r>
      <w:bookmarkEnd w:id="4"/>
    </w:p>
    <w:p>
      <w:pPr>
        <w:pStyle w:val="2"/>
        <w:ind w:left="0" w:leftChars="0" w:firstLine="0" w:firstLineChars="0"/>
        <w:jc w:val="center"/>
        <w:rPr>
          <w:rFonts w:hint="eastAsia" w:ascii="宋体" w:hAnsi="宋体" w:eastAsia="宋体" w:cs="宋体"/>
          <w:b/>
          <w:bCs/>
          <w:sz w:val="28"/>
          <w:szCs w:val="28"/>
          <w:lang w:val="en-US" w:eastAsia="zh-CN"/>
        </w:rPr>
      </w:pPr>
    </w:p>
    <w:p>
      <w:pPr>
        <w:pStyle w:val="2"/>
        <w:keepNext w:val="0"/>
        <w:keepLines w:val="0"/>
        <w:pageBreakBefore w:val="0"/>
        <w:widowControl/>
        <w:kinsoku/>
        <w:wordWrap/>
        <w:overflowPunct/>
        <w:topLinePunct w:val="0"/>
        <w:autoSpaceDE/>
        <w:autoSpaceDN/>
        <w:bidi w:val="0"/>
        <w:adjustRightInd/>
        <w:snapToGrid/>
        <w:spacing w:line="308" w:lineRule="auto"/>
        <w:ind w:left="0" w:leftChars="0" w:firstLine="560" w:firstLineChars="200"/>
        <w:jc w:val="both"/>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2021年4月8日至10日，我院招生就业处组织学院各部门在各个高职分类考试考点开展招生宣传活动。我院执行院长俞发仁、招生就业处副处长黄巍炜、校外实训管理中心主任郑丹、职业培训处副处长郑宇怀等61名师生分别参与此次活动。此次活动主要针对我院计算机类、电子信息类、土木工程类、艺术与设计类进行进行宣传。</w:t>
      </w:r>
    </w:p>
    <w:p>
      <w:pPr>
        <w:pStyle w:val="2"/>
        <w:ind w:left="0" w:leftChars="0" w:firstLine="0" w:firstLineChars="0"/>
        <w:jc w:val="center"/>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drawing>
          <wp:inline distT="0" distB="0" distL="0" distR="0">
            <wp:extent cx="3959860" cy="2969895"/>
            <wp:effectExtent l="0" t="0" r="2540" b="1905"/>
            <wp:docPr id="1077" name="图片 53" descr="图片9"/>
            <wp:cNvGraphicFramePr/>
            <a:graphic xmlns:a="http://schemas.openxmlformats.org/drawingml/2006/main">
              <a:graphicData uri="http://schemas.openxmlformats.org/drawingml/2006/picture">
                <pic:pic xmlns:pic="http://schemas.openxmlformats.org/drawingml/2006/picture">
                  <pic:nvPicPr>
                    <pic:cNvPr id="1077" name="图片 53" descr="图片9"/>
                    <pic:cNvPicPr/>
                  </pic:nvPicPr>
                  <pic:blipFill>
                    <a:blip r:embed="rId11" cstate="print"/>
                    <a:srcRect/>
                    <a:stretch>
                      <a:fillRect/>
                    </a:stretch>
                  </pic:blipFill>
                  <pic:spPr>
                    <a:xfrm>
                      <a:off x="0" y="0"/>
                      <a:ext cx="3959860" cy="2969895"/>
                    </a:xfrm>
                    <a:prstGeom prst="rect">
                      <a:avLst/>
                    </a:prstGeom>
                  </pic:spPr>
                </pic:pic>
              </a:graphicData>
            </a:graphic>
          </wp:inline>
        </w:drawing>
      </w:r>
    </w:p>
    <w:p>
      <w:pPr>
        <w:pStyle w:val="2"/>
        <w:ind w:left="0" w:leftChars="0" w:firstLine="0" w:firstLineChars="0"/>
        <w:jc w:val="center"/>
        <w:rPr>
          <w:rFonts w:hint="eastAsia" w:ascii="宋体" w:hAnsi="宋体" w:eastAsia="宋体" w:cs="宋体"/>
          <w:b w:val="0"/>
          <w:bCs w:val="0"/>
          <w:sz w:val="28"/>
          <w:szCs w:val="28"/>
          <w:lang w:val="en-US" w:eastAsia="zh-CN"/>
        </w:rPr>
      </w:pPr>
    </w:p>
    <w:p>
      <w:pPr>
        <w:pStyle w:val="2"/>
        <w:ind w:left="0" w:leftChars="0" w:firstLine="0" w:firstLineChars="0"/>
        <w:jc w:val="center"/>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drawing>
          <wp:inline distT="0" distB="0" distL="0" distR="0">
            <wp:extent cx="3959860" cy="2969895"/>
            <wp:effectExtent l="0" t="0" r="2540" b="1905"/>
            <wp:docPr id="1078" name="图片 54" descr="图片11"/>
            <wp:cNvGraphicFramePr/>
            <a:graphic xmlns:a="http://schemas.openxmlformats.org/drawingml/2006/main">
              <a:graphicData uri="http://schemas.openxmlformats.org/drawingml/2006/picture">
                <pic:pic xmlns:pic="http://schemas.openxmlformats.org/drawingml/2006/picture">
                  <pic:nvPicPr>
                    <pic:cNvPr id="1078" name="图片 54" descr="图片11"/>
                    <pic:cNvPicPr/>
                  </pic:nvPicPr>
                  <pic:blipFill>
                    <a:blip r:embed="rId12" cstate="print"/>
                    <a:srcRect/>
                    <a:stretch>
                      <a:fillRect/>
                    </a:stretch>
                  </pic:blipFill>
                  <pic:spPr>
                    <a:xfrm>
                      <a:off x="0" y="0"/>
                      <a:ext cx="3959860" cy="2969895"/>
                    </a:xfrm>
                    <a:prstGeom prst="rect">
                      <a:avLst/>
                    </a:prstGeom>
                  </pic:spPr>
                </pic:pic>
              </a:graphicData>
            </a:graphic>
          </wp:inline>
        </w:drawing>
      </w:r>
    </w:p>
    <w:p>
      <w:pPr>
        <w:pStyle w:val="2"/>
        <w:keepNext w:val="0"/>
        <w:keepLines w:val="0"/>
        <w:pageBreakBefore w:val="0"/>
        <w:widowControl/>
        <w:kinsoku/>
        <w:wordWrap/>
        <w:overflowPunct/>
        <w:topLinePunct w:val="0"/>
        <w:autoSpaceDE/>
        <w:autoSpaceDN/>
        <w:bidi w:val="0"/>
        <w:adjustRightInd/>
        <w:snapToGrid/>
        <w:spacing w:line="308" w:lineRule="auto"/>
        <w:jc w:val="both"/>
        <w:textAlignment w:val="auto"/>
        <w:rPr>
          <w:rFonts w:hint="eastAsia" w:ascii="宋体" w:hAnsi="宋体" w:eastAsia="宋体" w:cs="宋体"/>
          <w:sz w:val="28"/>
          <w:szCs w:val="28"/>
          <w:lang w:val="en-US" w:eastAsia="zh-CN"/>
        </w:rPr>
      </w:pPr>
    </w:p>
    <w:p>
      <w:pPr>
        <w:pStyle w:val="2"/>
        <w:ind w:left="0" w:leftChars="0" w:firstLine="0" w:firstLineChars="0"/>
        <w:rPr>
          <w:rFonts w:hint="eastAsia"/>
          <w:lang w:val="en-US" w:eastAsia="zh-CN"/>
        </w:rPr>
        <w:sectPr>
          <w:pgSz w:w="11906" w:h="16838"/>
          <w:pgMar w:top="1440" w:right="1800" w:bottom="1440" w:left="1800" w:header="851" w:footer="992" w:gutter="0"/>
          <w:pgNumType w:fmt="decimal"/>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default"/>
          <w:b w:val="0"/>
          <w:bCs w:val="0"/>
          <w:sz w:val="28"/>
          <w:lang w:val="en-US" w:eastAsia="zh-CN"/>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Arial"/>
    <w:panose1 w:val="020B0604020202020204"/>
    <w:charset w:val="00"/>
    <w:family w:val="roman"/>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U4NzUxNjdhNWQ1OTA2ZjZhYzA3N2QwMTI1OGZhNGEifQ=="/>
  </w:docVars>
  <w:rsids>
    <w:rsidRoot w:val="036166C2"/>
    <w:rsid w:val="036166C2"/>
    <w:rsid w:val="05E12A87"/>
    <w:rsid w:val="08CA02E2"/>
    <w:rsid w:val="0B057460"/>
    <w:rsid w:val="0D492EF2"/>
    <w:rsid w:val="0E3F5EE4"/>
    <w:rsid w:val="14267D62"/>
    <w:rsid w:val="1581137D"/>
    <w:rsid w:val="16FD7E14"/>
    <w:rsid w:val="17AA28B6"/>
    <w:rsid w:val="182A0257"/>
    <w:rsid w:val="1B2F59A1"/>
    <w:rsid w:val="21EC0DFA"/>
    <w:rsid w:val="22BE09DF"/>
    <w:rsid w:val="24103800"/>
    <w:rsid w:val="24E21572"/>
    <w:rsid w:val="2C282A65"/>
    <w:rsid w:val="354A3DC9"/>
    <w:rsid w:val="3DCE7A1C"/>
    <w:rsid w:val="3FB051DC"/>
    <w:rsid w:val="3FBC0B08"/>
    <w:rsid w:val="4B043B01"/>
    <w:rsid w:val="4CB42219"/>
    <w:rsid w:val="55904441"/>
    <w:rsid w:val="572B7BC7"/>
    <w:rsid w:val="63D935CE"/>
    <w:rsid w:val="64935200"/>
    <w:rsid w:val="68DA2630"/>
    <w:rsid w:val="6BF0084F"/>
    <w:rsid w:val="6D063AAA"/>
    <w:rsid w:val="6E6F6CBE"/>
    <w:rsid w:val="6FAC7B19"/>
    <w:rsid w:val="70AB5914"/>
    <w:rsid w:val="77E175A6"/>
    <w:rsid w:val="79304B61"/>
    <w:rsid w:val="794C41E7"/>
    <w:rsid w:val="7CD256CB"/>
    <w:rsid w:val="7EA309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5">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10">
    <w:name w:val="Default Paragraph Font"/>
    <w:semiHidden/>
    <w:qFormat/>
    <w:uiPriority w:val="0"/>
  </w:style>
  <w:style w:type="table" w:default="1" w:styleId="9">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First Indent"/>
    <w:basedOn w:val="3"/>
    <w:qFormat/>
    <w:uiPriority w:val="0"/>
    <w:pPr>
      <w:ind w:firstLine="420" w:firstLineChars="100"/>
    </w:pPr>
    <w:rPr>
      <w:rFonts w:ascii="Calibri" w:hAnsi="Calibri" w:eastAsia="宋体"/>
      <w:kern w:val="0"/>
      <w:sz w:val="20"/>
      <w:szCs w:val="20"/>
    </w:rPr>
  </w:style>
  <w:style w:type="paragraph" w:styleId="3">
    <w:name w:val="Body Text"/>
    <w:basedOn w:val="1"/>
    <w:next w:val="1"/>
    <w:qFormat/>
    <w:uiPriority w:val="1"/>
    <w:pPr>
      <w:ind w:left="140"/>
    </w:pPr>
    <w:rPr>
      <w:rFonts w:ascii="宋体" w:hAnsi="宋体" w:eastAsia="宋体"/>
      <w:sz w:val="32"/>
      <w:szCs w:val="32"/>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1">
    <w:name w:val="Strong"/>
    <w:basedOn w:val="10"/>
    <w:qFormat/>
    <w:uiPriority w:val="0"/>
    <w:rPr>
      <w:b/>
    </w:rPr>
  </w:style>
  <w:style w:type="character" w:styleId="12">
    <w:name w:val="Hyperlink"/>
    <w:basedOn w:val="10"/>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1632</Words>
  <Characters>1683</Characters>
  <Lines>1</Lines>
  <Paragraphs>1</Paragraphs>
  <TotalTime>1</TotalTime>
  <ScaleCrop>false</ScaleCrop>
  <LinksUpToDate>false</LinksUpToDate>
  <CharactersWithSpaces>1699</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2019-09-26T11:51:00Z</dcterms:created>
  <dc:creator>Administrator</dc:creator>
  <cp:lastModifiedBy>歪歪</cp:lastModifiedBy>
  <dcterms:modified xsi:type="dcterms:W3CDTF">2024-06-25T06:40:14Z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690910A7AF0241E5A44F15499787DFF4_13</vt:lpwstr>
  </property>
</Properties>
</file>