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spacing w:lineRule="exact" w:line="520"/>
        <w:jc w:val="center"/>
        <w:rPr>
          <w:rFonts w:ascii="黑体" w:hAnsi="黑体" w:eastAsia="黑体" w:cs="黑体"/>
          <w:b/>
          <w:b/>
          <w:bCs/>
          <w:sz w:val="36"/>
          <w:szCs w:val="36"/>
        </w:rPr>
      </w:pPr>
      <w:r>
        <w:rPr>
          <w:rFonts w:ascii="黑体" w:hAnsi="黑体" w:cs="黑体" w:eastAsia="黑体"/>
          <w:b/>
          <w:bCs/>
          <w:sz w:val="36"/>
          <w:szCs w:val="36"/>
        </w:rPr>
        <w:t>福州软件职业技术学院</w:t>
      </w:r>
    </w:p>
    <w:p>
      <w:pPr>
        <w:pStyle w:val="Style14"/>
        <w:spacing w:lineRule="exact" w:line="520"/>
        <w:jc w:val="center"/>
        <w:rPr>
          <w:rFonts w:ascii="黑体" w:hAnsi="黑体" w:eastAsia="黑体" w:cs="黑体"/>
          <w:b/>
          <w:b/>
          <w:bCs/>
          <w:sz w:val="36"/>
          <w:szCs w:val="36"/>
        </w:rPr>
      </w:pPr>
      <w:r>
        <w:rPr>
          <w:rFonts w:ascii="黑体" w:hAnsi="黑体" w:cs="黑体" w:eastAsia="黑体"/>
          <w:b/>
          <w:bCs/>
          <w:sz w:val="36"/>
          <w:szCs w:val="36"/>
        </w:rPr>
        <w:t>“十四五”招生就业处建设规划</w:t>
      </w:r>
    </w:p>
    <w:p>
      <w:pPr>
        <w:pStyle w:val="Style14"/>
        <w:spacing w:lineRule="exact" w:line="520"/>
        <w:ind w:firstLineChars="200" w:firstLine="0"/>
        <w:rPr>
          <w:rFonts w:ascii="黑体" w:hAnsi="黑体" w:eastAsia="黑体"/>
          <w:sz w:val="28"/>
          <w:szCs w:val="28"/>
        </w:rPr>
      </w:pPr>
      <w:r>
        <w:rPr>
          <w:rFonts w:eastAsia="黑体" w:ascii="黑体" w:hAnsi="黑体"/>
          <w:sz w:val="28"/>
          <w:szCs w:val="28"/>
        </w:rPr>
      </w:r>
    </w:p>
    <w:p>
      <w:pPr>
        <w:pStyle w:val="Style14"/>
        <w:spacing w:lineRule="exact" w:line="520"/>
        <w:ind w:firstLineChars="200" w:firstLine="0"/>
        <w:rPr>
          <w:rFonts w:ascii="仿宋" w:hAnsi="仿宋" w:eastAsia="仿宋" w:cs="仿宋"/>
          <w:sz w:val="28"/>
          <w:szCs w:val="28"/>
        </w:rPr>
      </w:pPr>
      <w:r>
        <w:rPr>
          <w:rFonts w:ascii="仿宋" w:hAnsi="仿宋" w:cs="仿宋" w:eastAsia="仿宋"/>
          <w:sz w:val="28"/>
          <w:szCs w:val="28"/>
        </w:rPr>
        <w:t>党的十八大以来，尤其是《国家职业教育改革实施方案》出台以来，职业教育走上了提质培优、增值赋能的快车道，迎来大改革大发展的新阶段，职业教育面貌发生了格局性变化。职业教育在助力青年实现技能成才梦，助力脱贫攻坚，服务经济高质量发展中顺势而为、应势而起，作出了重要贡献。随着中国经济进入高质量发展新阶段，整个社会对高素质技术技能人才的需求更加旺盛。数据显示，我国技能人才已超过</w:t>
      </w:r>
      <w:r>
        <w:rPr>
          <w:rFonts w:eastAsia="仿宋" w:cs="仿宋" w:ascii="仿宋" w:hAnsi="仿宋"/>
          <w:sz w:val="28"/>
          <w:szCs w:val="28"/>
        </w:rPr>
        <w:t>2</w:t>
      </w:r>
      <w:r>
        <w:rPr>
          <w:rFonts w:ascii="仿宋" w:hAnsi="仿宋" w:cs="仿宋" w:eastAsia="仿宋"/>
          <w:sz w:val="28"/>
          <w:szCs w:val="28"/>
        </w:rPr>
        <w:t>亿人，占就业总量的</w:t>
      </w:r>
      <w:r>
        <w:rPr>
          <w:rFonts w:eastAsia="仿宋" w:cs="仿宋" w:ascii="仿宋" w:hAnsi="仿宋"/>
          <w:sz w:val="28"/>
          <w:szCs w:val="28"/>
        </w:rPr>
        <w:t>26%</w:t>
      </w:r>
      <w:r>
        <w:rPr>
          <w:rFonts w:ascii="仿宋" w:hAnsi="仿宋" w:cs="仿宋" w:eastAsia="仿宋"/>
          <w:sz w:val="28"/>
          <w:szCs w:val="28"/>
        </w:rPr>
        <w:t>。然而高技能人才仅有</w:t>
      </w:r>
      <w:r>
        <w:rPr>
          <w:rFonts w:eastAsia="仿宋" w:cs="仿宋" w:ascii="仿宋" w:hAnsi="仿宋"/>
          <w:sz w:val="28"/>
          <w:szCs w:val="28"/>
        </w:rPr>
        <w:t>5000</w:t>
      </w:r>
      <w:r>
        <w:rPr>
          <w:rFonts w:ascii="仿宋" w:hAnsi="仿宋" w:cs="仿宋" w:eastAsia="仿宋"/>
          <w:sz w:val="28"/>
          <w:szCs w:val="28"/>
        </w:rPr>
        <w:t>万人，占技能人才总量的</w:t>
      </w:r>
      <w:r>
        <w:rPr>
          <w:rFonts w:eastAsia="仿宋" w:cs="仿宋" w:ascii="仿宋" w:hAnsi="仿宋"/>
          <w:sz w:val="28"/>
          <w:szCs w:val="28"/>
        </w:rPr>
        <w:t>28%</w:t>
      </w:r>
      <w:r>
        <w:rPr>
          <w:rFonts w:ascii="仿宋" w:hAnsi="仿宋" w:cs="仿宋" w:eastAsia="仿宋"/>
          <w:sz w:val="28"/>
          <w:szCs w:val="28"/>
        </w:rPr>
        <w:t>，与德国、日本等制造强国相比，仍有不小的差距。不管是实现经济增长方式由粗放型转向集约型转变、改造提升传统产业、发展壮大新兴产业，还是实现由制造业大国向制造业强国转变、由中国制造向中国创造转变，都需要更多高素质技术技能人才，需要更多能工巧匠、大国工匠的支撑。而进一步巩固脱贫攻坚成果，助力乡村振兴，也需要职业教育发挥助力技能成才梦想的作用，根据福建省教育厅文件闽教学〔</w:t>
      </w:r>
      <w:r>
        <w:rPr>
          <w:rFonts w:eastAsia="仿宋" w:cs="仿宋" w:ascii="仿宋" w:hAnsi="仿宋"/>
          <w:sz w:val="28"/>
          <w:szCs w:val="28"/>
        </w:rPr>
        <w:t>2019</w:t>
      </w:r>
      <w:r>
        <w:rPr>
          <w:rFonts w:ascii="仿宋" w:hAnsi="仿宋" w:cs="仿宋" w:eastAsia="仿宋"/>
          <w:sz w:val="28"/>
          <w:szCs w:val="28"/>
        </w:rPr>
        <w:t>〕</w:t>
      </w:r>
      <w:r>
        <w:rPr>
          <w:rFonts w:eastAsia="仿宋" w:cs="仿宋" w:ascii="仿宋" w:hAnsi="仿宋"/>
          <w:sz w:val="28"/>
          <w:szCs w:val="28"/>
        </w:rPr>
        <w:t>35</w:t>
      </w:r>
      <w:r>
        <w:rPr>
          <w:rFonts w:ascii="仿宋" w:hAnsi="仿宋" w:cs="仿宋" w:eastAsia="仿宋"/>
          <w:sz w:val="28"/>
          <w:szCs w:val="28"/>
        </w:rPr>
        <w:t>号、《福建省教育厅关于印发福建省高职院校分类考试招生改革实施办法的通知》、闽招委〔</w:t>
      </w:r>
      <w:r>
        <w:rPr>
          <w:rFonts w:eastAsia="仿宋" w:cs="仿宋" w:ascii="仿宋" w:hAnsi="仿宋"/>
          <w:sz w:val="28"/>
          <w:szCs w:val="28"/>
        </w:rPr>
        <w:t>2019</w:t>
      </w:r>
      <w:r>
        <w:rPr>
          <w:rFonts w:ascii="仿宋" w:hAnsi="仿宋" w:cs="仿宋" w:eastAsia="仿宋"/>
          <w:sz w:val="28"/>
          <w:szCs w:val="28"/>
        </w:rPr>
        <w:t>〕</w:t>
      </w:r>
      <w:r>
        <w:rPr>
          <w:rFonts w:eastAsia="仿宋" w:cs="仿宋" w:ascii="仿宋" w:hAnsi="仿宋"/>
          <w:sz w:val="28"/>
          <w:szCs w:val="28"/>
        </w:rPr>
        <w:t>3</w:t>
      </w:r>
      <w:r>
        <w:rPr>
          <w:rFonts w:ascii="仿宋" w:hAnsi="仿宋" w:cs="仿宋" w:eastAsia="仿宋"/>
          <w:sz w:val="28"/>
          <w:szCs w:val="28"/>
        </w:rPr>
        <w:t>号《福建省教育厅关于做好</w:t>
      </w:r>
      <w:r>
        <w:rPr>
          <w:rFonts w:eastAsia="仿宋" w:cs="仿宋" w:ascii="仿宋" w:hAnsi="仿宋"/>
          <w:sz w:val="28"/>
          <w:szCs w:val="28"/>
        </w:rPr>
        <w:t>2019</w:t>
      </w:r>
      <w:r>
        <w:rPr>
          <w:rFonts w:ascii="仿宋" w:hAnsi="仿宋" w:cs="仿宋" w:eastAsia="仿宋"/>
          <w:sz w:val="28"/>
          <w:szCs w:val="28"/>
        </w:rPr>
        <w:t>年普通高等学校招生工作的通知》、福建省教育厅关于推进五年制高等职业教育发展的通知（闽教职成厅〔</w:t>
      </w:r>
      <w:r>
        <w:rPr>
          <w:rFonts w:eastAsia="仿宋" w:cs="仿宋" w:ascii="仿宋" w:hAnsi="仿宋"/>
          <w:sz w:val="28"/>
          <w:szCs w:val="28"/>
        </w:rPr>
        <w:t>2019</w:t>
      </w:r>
      <w:r>
        <w:rPr>
          <w:rFonts w:ascii="仿宋" w:hAnsi="仿宋" w:cs="仿宋" w:eastAsia="仿宋"/>
          <w:sz w:val="28"/>
          <w:szCs w:val="28"/>
        </w:rPr>
        <w:t>〕</w:t>
      </w:r>
      <w:r>
        <w:rPr>
          <w:rFonts w:eastAsia="仿宋" w:cs="仿宋" w:ascii="仿宋" w:hAnsi="仿宋"/>
          <w:sz w:val="28"/>
          <w:szCs w:val="28"/>
        </w:rPr>
        <w:t>6</w:t>
      </w:r>
      <w:r>
        <w:rPr>
          <w:rFonts w:ascii="仿宋" w:hAnsi="仿宋" w:cs="仿宋" w:eastAsia="仿宋"/>
          <w:sz w:val="28"/>
          <w:szCs w:val="28"/>
        </w:rPr>
        <w:t>号）、福建省教育厅办公室关于公布</w:t>
      </w:r>
      <w:r>
        <w:rPr>
          <w:rFonts w:eastAsia="仿宋" w:cs="仿宋" w:ascii="仿宋" w:hAnsi="仿宋"/>
          <w:sz w:val="28"/>
          <w:szCs w:val="28"/>
        </w:rPr>
        <w:t>2019</w:t>
      </w:r>
      <w:r>
        <w:rPr>
          <w:rFonts w:ascii="仿宋" w:hAnsi="仿宋" w:cs="仿宋" w:eastAsia="仿宋"/>
          <w:sz w:val="28"/>
          <w:szCs w:val="28"/>
        </w:rPr>
        <w:t>年高职“二元制”技术技能人才培养模式改革试点项目的通知（闽教办职成〔</w:t>
      </w:r>
      <w:r>
        <w:rPr>
          <w:rFonts w:eastAsia="仿宋" w:cs="仿宋" w:ascii="仿宋" w:hAnsi="仿宋"/>
          <w:sz w:val="28"/>
          <w:szCs w:val="28"/>
        </w:rPr>
        <w:t>2019</w:t>
      </w:r>
      <w:r>
        <w:rPr>
          <w:rFonts w:ascii="仿宋" w:hAnsi="仿宋" w:cs="仿宋" w:eastAsia="仿宋"/>
          <w:sz w:val="28"/>
          <w:szCs w:val="28"/>
        </w:rPr>
        <w:t>〕</w:t>
      </w:r>
      <w:r>
        <w:rPr>
          <w:rFonts w:eastAsia="仿宋" w:cs="仿宋" w:ascii="仿宋" w:hAnsi="仿宋"/>
          <w:sz w:val="28"/>
          <w:szCs w:val="28"/>
        </w:rPr>
        <w:t>4</w:t>
      </w:r>
      <w:r>
        <w:rPr>
          <w:rFonts w:ascii="仿宋" w:hAnsi="仿宋" w:cs="仿宋" w:eastAsia="仿宋"/>
          <w:sz w:val="28"/>
          <w:szCs w:val="28"/>
        </w:rPr>
        <w:t>号）、福建省教育厅等六部门《福建省高职扩招专项工作实施方案》的通知（闽教学〔</w:t>
      </w:r>
      <w:r>
        <w:rPr>
          <w:rFonts w:eastAsia="仿宋" w:cs="仿宋" w:ascii="仿宋" w:hAnsi="仿宋"/>
          <w:sz w:val="28"/>
          <w:szCs w:val="28"/>
        </w:rPr>
        <w:t>2019</w:t>
      </w:r>
      <w:r>
        <w:rPr>
          <w:rFonts w:ascii="仿宋" w:hAnsi="仿宋" w:cs="仿宋" w:eastAsia="仿宋"/>
          <w:sz w:val="28"/>
          <w:szCs w:val="28"/>
        </w:rPr>
        <w:t>〕</w:t>
      </w:r>
      <w:r>
        <w:rPr>
          <w:rFonts w:eastAsia="仿宋" w:cs="仿宋" w:ascii="仿宋" w:hAnsi="仿宋"/>
          <w:sz w:val="28"/>
          <w:szCs w:val="28"/>
        </w:rPr>
        <w:t>20</w:t>
      </w:r>
      <w:r>
        <w:rPr>
          <w:rFonts w:ascii="仿宋" w:hAnsi="仿宋" w:cs="仿宋" w:eastAsia="仿宋"/>
          <w:sz w:val="28"/>
          <w:szCs w:val="28"/>
        </w:rPr>
        <w:t>号）等文件精神，结合学校实际，特制定本规划。</w:t>
      </w:r>
    </w:p>
    <w:p>
      <w:pPr>
        <w:pStyle w:val="Style14"/>
        <w:spacing w:lineRule="exact" w:line="520"/>
        <w:ind w:firstLineChars="200" w:firstLine="0"/>
        <w:rPr>
          <w:rFonts w:ascii="黑体" w:hAnsi="黑体" w:eastAsia="黑体"/>
          <w:sz w:val="28"/>
          <w:szCs w:val="28"/>
        </w:rPr>
      </w:pPr>
      <w:r>
        <w:rPr>
          <w:rFonts w:ascii="黑体" w:hAnsi="黑体" w:eastAsia="黑体"/>
          <w:sz w:val="28"/>
          <w:szCs w:val="28"/>
        </w:rPr>
        <w:t>一、“十三五”期间事业发展情况</w:t>
      </w:r>
    </w:p>
    <w:p>
      <w:pPr>
        <w:pStyle w:val="Style14"/>
        <w:numPr>
          <w:ilvl w:val="0"/>
          <w:numId w:val="0"/>
        </w:numPr>
        <w:spacing w:lineRule="exact" w:line="520"/>
        <w:ind w:firstLineChars="200" w:firstLine="0"/>
        <w:outlineLvl w:val="0"/>
        <w:rPr>
          <w:rFonts w:ascii="仿宋" w:hAnsi="仿宋" w:eastAsia="仿宋"/>
          <w:sz w:val="28"/>
          <w:szCs w:val="28"/>
        </w:rPr>
      </w:pPr>
      <w:r>
        <w:rPr>
          <w:rFonts w:ascii="仿宋" w:hAnsi="仿宋" w:eastAsia="仿宋"/>
          <w:b/>
          <w:bCs/>
          <w:sz w:val="28"/>
          <w:szCs w:val="28"/>
        </w:rPr>
        <w:t>（一）主要成绩与经验</w:t>
      </w:r>
    </w:p>
    <w:p>
      <w:pPr>
        <w:pStyle w:val="Style14"/>
        <w:spacing w:lineRule="exact" w:line="520"/>
        <w:ind w:firstLineChars="200" w:firstLine="0"/>
        <w:rPr>
          <w:rFonts w:ascii="仿宋" w:hAnsi="仿宋" w:eastAsia="仿宋"/>
          <w:sz w:val="28"/>
          <w:szCs w:val="28"/>
        </w:rPr>
      </w:pPr>
      <w:r>
        <w:rPr>
          <w:rFonts w:ascii="仿宋" w:hAnsi="仿宋" w:eastAsia="仿宋"/>
          <w:sz w:val="28"/>
          <w:szCs w:val="28"/>
        </w:rPr>
        <w:t>十三五时期以来，学校在招生方面招生计划数、开设专业数、各招生类型、录取人数都有较大幅度的提升，从</w:t>
      </w:r>
      <w:r>
        <w:rPr>
          <w:rFonts w:eastAsia="仿宋" w:ascii="仿宋" w:hAnsi="仿宋"/>
          <w:sz w:val="28"/>
          <w:szCs w:val="28"/>
        </w:rPr>
        <w:t>2016</w:t>
      </w:r>
      <w:r>
        <w:rPr>
          <w:rFonts w:ascii="仿宋" w:hAnsi="仿宋" w:eastAsia="仿宋"/>
          <w:sz w:val="28"/>
          <w:szCs w:val="28"/>
        </w:rPr>
        <w:t>年录取人数</w:t>
      </w:r>
      <w:r>
        <w:rPr>
          <w:rFonts w:eastAsia="仿宋" w:ascii="仿宋" w:hAnsi="仿宋"/>
          <w:sz w:val="28"/>
          <w:szCs w:val="28"/>
        </w:rPr>
        <w:t>1093</w:t>
      </w:r>
      <w:r>
        <w:rPr>
          <w:rFonts w:ascii="仿宋" w:hAnsi="仿宋" w:eastAsia="仿宋"/>
          <w:sz w:val="28"/>
          <w:szCs w:val="28"/>
        </w:rPr>
        <w:t>人，</w:t>
      </w:r>
      <w:r>
        <w:rPr>
          <w:rFonts w:eastAsia="仿宋" w:ascii="仿宋" w:hAnsi="仿宋"/>
          <w:sz w:val="28"/>
          <w:szCs w:val="28"/>
        </w:rPr>
        <w:t>2017</w:t>
      </w:r>
      <w:r>
        <w:rPr>
          <w:rFonts w:ascii="仿宋" w:hAnsi="仿宋" w:eastAsia="仿宋"/>
          <w:sz w:val="28"/>
          <w:szCs w:val="28"/>
        </w:rPr>
        <w:t>年录取数</w:t>
      </w:r>
      <w:r>
        <w:rPr>
          <w:rFonts w:eastAsia="仿宋" w:ascii="仿宋" w:hAnsi="仿宋"/>
          <w:sz w:val="28"/>
          <w:szCs w:val="28"/>
        </w:rPr>
        <w:t>1120</w:t>
      </w:r>
      <w:r>
        <w:rPr>
          <w:rFonts w:ascii="仿宋" w:hAnsi="仿宋" w:eastAsia="仿宋"/>
          <w:sz w:val="28"/>
          <w:szCs w:val="28"/>
        </w:rPr>
        <w:t>人，</w:t>
      </w:r>
      <w:r>
        <w:rPr>
          <w:rFonts w:eastAsia="仿宋" w:ascii="仿宋" w:hAnsi="仿宋"/>
          <w:sz w:val="28"/>
          <w:szCs w:val="28"/>
        </w:rPr>
        <w:t>2018</w:t>
      </w:r>
      <w:r>
        <w:rPr>
          <w:rFonts w:ascii="仿宋" w:hAnsi="仿宋" w:eastAsia="仿宋"/>
          <w:sz w:val="28"/>
          <w:szCs w:val="28"/>
        </w:rPr>
        <w:t>年</w:t>
      </w:r>
      <w:r>
        <w:rPr>
          <w:rFonts w:eastAsia="仿宋" w:ascii="仿宋" w:hAnsi="仿宋"/>
          <w:sz w:val="28"/>
          <w:szCs w:val="28"/>
        </w:rPr>
        <w:t>1057</w:t>
      </w:r>
      <w:r>
        <w:rPr>
          <w:rFonts w:ascii="仿宋" w:hAnsi="仿宋" w:eastAsia="仿宋"/>
          <w:sz w:val="28"/>
          <w:szCs w:val="28"/>
        </w:rPr>
        <w:t>人，</w:t>
      </w:r>
      <w:r>
        <w:rPr>
          <w:rFonts w:eastAsia="仿宋" w:ascii="仿宋" w:hAnsi="仿宋"/>
          <w:sz w:val="28"/>
          <w:szCs w:val="28"/>
        </w:rPr>
        <w:t>2019</w:t>
      </w:r>
      <w:r>
        <w:rPr>
          <w:rFonts w:ascii="仿宋" w:hAnsi="仿宋" w:eastAsia="仿宋"/>
          <w:sz w:val="28"/>
          <w:szCs w:val="28"/>
        </w:rPr>
        <w:t>年</w:t>
      </w:r>
      <w:r>
        <w:rPr>
          <w:rFonts w:eastAsia="仿宋" w:ascii="仿宋" w:hAnsi="仿宋"/>
          <w:sz w:val="28"/>
          <w:szCs w:val="28"/>
        </w:rPr>
        <w:t>2128</w:t>
      </w:r>
      <w:r>
        <w:rPr>
          <w:rFonts w:ascii="仿宋" w:hAnsi="仿宋" w:eastAsia="仿宋"/>
          <w:sz w:val="28"/>
          <w:szCs w:val="28"/>
        </w:rPr>
        <w:t>人，</w:t>
      </w:r>
      <w:r>
        <w:rPr>
          <w:rFonts w:eastAsia="仿宋" w:ascii="仿宋" w:hAnsi="仿宋"/>
          <w:sz w:val="28"/>
          <w:szCs w:val="28"/>
        </w:rPr>
        <w:t>2020</w:t>
      </w:r>
      <w:r>
        <w:rPr>
          <w:rFonts w:ascii="仿宋" w:hAnsi="仿宋" w:eastAsia="仿宋"/>
          <w:sz w:val="28"/>
          <w:szCs w:val="28"/>
        </w:rPr>
        <w:t>年</w:t>
      </w:r>
      <w:r>
        <w:rPr>
          <w:rFonts w:eastAsia="仿宋" w:ascii="仿宋" w:hAnsi="仿宋"/>
          <w:sz w:val="28"/>
          <w:szCs w:val="28"/>
        </w:rPr>
        <w:t>4109</w:t>
      </w:r>
      <w:r>
        <w:rPr>
          <w:rFonts w:ascii="仿宋" w:hAnsi="仿宋" w:eastAsia="仿宋"/>
          <w:sz w:val="28"/>
          <w:szCs w:val="28"/>
        </w:rPr>
        <w:t>人。</w:t>
      </w:r>
      <w:r>
        <w:rPr>
          <w:rFonts w:eastAsia="仿宋" w:ascii="仿宋" w:hAnsi="仿宋"/>
          <w:sz w:val="28"/>
          <w:szCs w:val="28"/>
        </w:rPr>
        <w:t>2019</w:t>
      </w:r>
      <w:r>
        <w:rPr>
          <w:rFonts w:ascii="仿宋" w:hAnsi="仿宋" w:eastAsia="仿宋"/>
          <w:sz w:val="28"/>
          <w:szCs w:val="28"/>
        </w:rPr>
        <w:t>年拓展了五年制高职教育、二元制人才试点招生、及高职扩招等多个招生类型。在招生工作实施细则方面严格按照招生规范。</w:t>
      </w:r>
      <w:r>
        <w:rPr>
          <w:rFonts w:ascii="仿宋" w:hAnsi="仿宋" w:cs="仿宋_GB2312" w:eastAsia="仿宋"/>
          <w:b/>
          <w:bCs/>
          <w:color w:val="000000"/>
          <w:sz w:val="28"/>
          <w:szCs w:val="28"/>
          <w:shd w:fill="FFFFFF" w:val="clear"/>
        </w:rPr>
        <w:t>制定了《福州软件职业技术学院招生委员会》《福州软件职业技术学院招生工作领导小组》等有关文件，就业方面及几年就业率均在</w:t>
      </w:r>
      <w:r>
        <w:rPr>
          <w:rFonts w:eastAsia="仿宋" w:cs="仿宋_GB2312" w:ascii="仿宋" w:hAnsi="仿宋"/>
          <w:b/>
          <w:bCs/>
          <w:color w:val="000000"/>
          <w:sz w:val="28"/>
          <w:szCs w:val="28"/>
          <w:shd w:fill="FFFFFF" w:val="clear"/>
        </w:rPr>
        <w:t>90%</w:t>
      </w:r>
      <w:r>
        <w:rPr>
          <w:rFonts w:ascii="仿宋" w:hAnsi="仿宋" w:cs="仿宋_GB2312" w:eastAsia="仿宋"/>
          <w:b/>
          <w:bCs/>
          <w:color w:val="000000"/>
          <w:sz w:val="28"/>
          <w:szCs w:val="28"/>
          <w:shd w:fill="FFFFFF" w:val="clear"/>
        </w:rPr>
        <w:t>左右，在招生宣传方式方法上近几年与传统招生相比拓展了更多的生源渠道，构建了区域招生联系网络，在新校区搬迁以来利用良好的教育教学生活环境运用了多种渠道的招生宣传力量，抖音、直播新媒体等宣传策略吸引了众多考生及家长的报考欲望，就业方面陆续在与人才市场的搭建上保持良好的服务关系，拓展更多的就业信息发布。</w:t>
      </w:r>
    </w:p>
    <w:p>
      <w:pPr>
        <w:pStyle w:val="Style14"/>
        <w:spacing w:lineRule="exact" w:line="520"/>
        <w:ind w:firstLineChars="200" w:firstLine="0"/>
        <w:rPr>
          <w:rFonts w:ascii="仿宋" w:hAnsi="仿宋" w:eastAsia="仿宋"/>
          <w:b/>
          <w:b/>
          <w:bCs/>
          <w:sz w:val="28"/>
          <w:szCs w:val="28"/>
        </w:rPr>
      </w:pPr>
      <w:r>
        <w:rPr>
          <w:rFonts w:ascii="仿宋" w:hAnsi="仿宋" w:eastAsia="仿宋"/>
          <w:b/>
          <w:bCs/>
          <w:sz w:val="28"/>
          <w:szCs w:val="28"/>
        </w:rPr>
        <w:t>（二）存在的问题及原因分析</w:t>
      </w:r>
    </w:p>
    <w:p>
      <w:pPr>
        <w:pStyle w:val="Style14"/>
        <w:spacing w:lineRule="exact" w:line="520"/>
        <w:ind w:firstLineChars="200" w:firstLine="0"/>
        <w:rPr>
          <w:rFonts w:ascii="仿宋" w:hAnsi="仿宋" w:eastAsia="仿宋"/>
          <w:sz w:val="28"/>
          <w:szCs w:val="28"/>
        </w:rPr>
      </w:pPr>
      <w:r>
        <w:rPr>
          <w:rFonts w:ascii="仿宋" w:hAnsi="仿宋" w:cs="仿宋" w:eastAsia="仿宋"/>
          <w:sz w:val="28"/>
          <w:szCs w:val="28"/>
        </w:rPr>
        <w:t>作为民办高职院校，由于需保障学校生源的基础上及招生政策的局限性尚未开展对人才选拔的质量选择，目前存在生源质量需进行提升的问题，我院内涵建设等问题，需通过</w:t>
      </w:r>
      <w:r>
        <w:rPr>
          <w:rFonts w:ascii="仿宋" w:hAnsi="仿宋" w:eastAsia="仿宋"/>
          <w:sz w:val="28"/>
          <w:szCs w:val="28"/>
        </w:rPr>
        <w:t>多渠道宣传手段，录取优质学生，带动各项技能大赛参与度和成绩，并可给予优质生源提供一些奖励。</w:t>
      </w:r>
    </w:p>
    <w:p>
      <w:pPr>
        <w:pStyle w:val="Style14"/>
        <w:spacing w:lineRule="exact" w:line="520"/>
        <w:ind w:firstLineChars="200" w:firstLine="0"/>
        <w:rPr>
          <w:rFonts w:ascii="仿宋" w:hAnsi="仿宋" w:eastAsia="仿宋"/>
          <w:b/>
          <w:b/>
          <w:bCs/>
          <w:sz w:val="28"/>
          <w:szCs w:val="28"/>
        </w:rPr>
      </w:pPr>
      <w:r>
        <w:rPr>
          <w:rFonts w:ascii="仿宋" w:hAnsi="仿宋" w:eastAsia="仿宋"/>
          <w:b/>
          <w:bCs/>
          <w:sz w:val="28"/>
          <w:szCs w:val="28"/>
        </w:rPr>
        <w:t>（三）国内省内同行业地位分析</w:t>
      </w:r>
    </w:p>
    <w:p>
      <w:pPr>
        <w:pStyle w:val="Style14"/>
        <w:spacing w:lineRule="auto" w:line="360"/>
        <w:ind w:leftChars="200" w:left="420"/>
        <w:rPr>
          <w:rFonts w:ascii="仿宋" w:hAnsi="仿宋" w:eastAsia="仿宋"/>
          <w:sz w:val="28"/>
          <w:szCs w:val="28"/>
        </w:rPr>
      </w:pPr>
      <w:r>
        <w:rPr>
          <w:rFonts w:ascii="仿宋" w:hAnsi="仿宋" w:eastAsia="仿宋"/>
          <w:sz w:val="28"/>
          <w:szCs w:val="28"/>
        </w:rPr>
        <w:t>近年招生录取数位列全省同类院校前列，录取率位列全省民办院</w:t>
      </w:r>
    </w:p>
    <w:p>
      <w:pPr>
        <w:pStyle w:val="Style14"/>
        <w:spacing w:lineRule="auto" w:line="360"/>
        <w:ind w:leftChars="200" w:left="420"/>
        <w:rPr>
          <w:rFonts w:ascii="仿宋" w:hAnsi="仿宋" w:eastAsia="仿宋"/>
          <w:sz w:val="28"/>
          <w:szCs w:val="28"/>
        </w:rPr>
      </w:pPr>
      <w:r>
        <w:rPr>
          <w:rFonts w:ascii="仿宋" w:hAnsi="仿宋" w:eastAsia="仿宋"/>
          <w:sz w:val="28"/>
          <w:szCs w:val="28"/>
        </w:rPr>
        <w:t>校中游水平。就业率稳步在全省高职院校中游水平。</w:t>
      </w:r>
    </w:p>
    <w:p>
      <w:pPr>
        <w:pStyle w:val="Style14"/>
        <w:spacing w:lineRule="auto" w:line="360"/>
        <w:rPr>
          <w:rFonts w:ascii="仿宋" w:hAnsi="仿宋" w:eastAsia="仿宋"/>
          <w:sz w:val="28"/>
          <w:szCs w:val="28"/>
        </w:rPr>
      </w:pPr>
      <w:r>
        <w:rPr>
          <w:rFonts w:eastAsia="仿宋" w:ascii="仿宋" w:hAnsi="仿宋"/>
          <w:sz w:val="28"/>
          <w:szCs w:val="28"/>
        </w:rPr>
      </w:r>
    </w:p>
    <w:p>
      <w:pPr>
        <w:pStyle w:val="Style14"/>
        <w:spacing w:lineRule="exact" w:line="520"/>
        <w:ind w:firstLineChars="200" w:firstLine="0"/>
        <w:rPr>
          <w:rFonts w:ascii="仿宋" w:hAnsi="仿宋" w:eastAsia="仿宋"/>
          <w:b/>
          <w:b/>
          <w:bCs/>
          <w:sz w:val="28"/>
          <w:szCs w:val="28"/>
        </w:rPr>
      </w:pPr>
      <w:r>
        <w:rPr>
          <w:rFonts w:ascii="仿宋" w:hAnsi="仿宋" w:eastAsia="仿宋"/>
          <w:b/>
          <w:bCs/>
          <w:sz w:val="28"/>
          <w:szCs w:val="28"/>
        </w:rPr>
        <w:t>（四）面临的机遇与挑战</w:t>
      </w:r>
    </w:p>
    <w:p>
      <w:pPr>
        <w:pStyle w:val="Style14"/>
        <w:spacing w:lineRule="auto" w:line="360"/>
        <w:ind w:leftChars="200" w:left="420"/>
        <w:rPr>
          <w:rFonts w:ascii="仿宋" w:hAnsi="仿宋" w:eastAsia="仿宋"/>
          <w:sz w:val="28"/>
          <w:szCs w:val="28"/>
        </w:rPr>
      </w:pPr>
      <w:r>
        <w:rPr>
          <w:rFonts w:ascii="仿宋" w:hAnsi="仿宋" w:eastAsia="仿宋"/>
          <w:sz w:val="28"/>
          <w:szCs w:val="28"/>
        </w:rPr>
        <w:t>省内生源近年持平稳态势，省内民办高职院校招生情况远不及公</w:t>
      </w:r>
    </w:p>
    <w:p>
      <w:pPr>
        <w:pStyle w:val="Style14"/>
        <w:spacing w:lineRule="auto" w:line="360"/>
        <w:rPr>
          <w:rFonts w:ascii="仿宋" w:hAnsi="仿宋" w:eastAsia="仿宋"/>
          <w:sz w:val="28"/>
          <w:szCs w:val="28"/>
        </w:rPr>
      </w:pPr>
      <w:r>
        <w:rPr>
          <w:rFonts w:ascii="仿宋" w:hAnsi="仿宋" w:eastAsia="仿宋"/>
          <w:sz w:val="28"/>
          <w:szCs w:val="28"/>
        </w:rPr>
        <w:t>办院校，存在通过各种形式抢生源的现象出现，从春季生源上中职比例逐渐加大，通过我院联办五年专中职校打通中职生招生途径，通过不断建立生源基地储备应届生源，建立职教联盟体系。</w:t>
      </w:r>
    </w:p>
    <w:p>
      <w:pPr>
        <w:pStyle w:val="Style14"/>
        <w:spacing w:lineRule="exact" w:line="520"/>
        <w:ind w:firstLineChars="200" w:firstLine="0"/>
        <w:rPr>
          <w:rFonts w:ascii="黑体" w:hAnsi="黑体" w:eastAsia="黑体"/>
          <w:sz w:val="28"/>
          <w:szCs w:val="28"/>
        </w:rPr>
      </w:pPr>
      <w:r>
        <w:rPr>
          <w:rFonts w:ascii="黑体" w:hAnsi="黑体" w:eastAsia="黑体"/>
          <w:sz w:val="28"/>
          <w:szCs w:val="28"/>
        </w:rPr>
        <w:t>二、“十四五”期间发展基本思路和规划目标</w:t>
      </w:r>
    </w:p>
    <w:p>
      <w:pPr>
        <w:pStyle w:val="Style14"/>
        <w:ind w:firstLineChars="200" w:firstLine="0"/>
        <w:rPr>
          <w:rFonts w:ascii="仿宋" w:hAnsi="仿宋" w:eastAsia="仿宋"/>
          <w:b/>
          <w:b/>
          <w:bCs/>
          <w:sz w:val="28"/>
          <w:szCs w:val="28"/>
        </w:rPr>
      </w:pPr>
      <w:r>
        <w:rPr>
          <w:rFonts w:ascii="仿宋" w:hAnsi="仿宋" w:eastAsia="仿宋"/>
          <w:b/>
          <w:bCs/>
          <w:sz w:val="28"/>
          <w:szCs w:val="28"/>
        </w:rPr>
        <w:t>（一）指导思想</w:t>
      </w:r>
    </w:p>
    <w:p>
      <w:pPr>
        <w:pStyle w:val="Style14"/>
        <w:ind w:firstLineChars="200" w:firstLine="0"/>
        <w:rPr>
          <w:rFonts w:ascii="仿宋" w:hAnsi="仿宋" w:eastAsia="仿宋"/>
          <w:sz w:val="28"/>
          <w:szCs w:val="28"/>
        </w:rPr>
      </w:pPr>
      <w:r>
        <w:rPr>
          <w:rFonts w:ascii="仿宋" w:hAnsi="仿宋" w:eastAsia="仿宋"/>
          <w:sz w:val="28"/>
          <w:szCs w:val="28"/>
        </w:rPr>
        <w:t>党的十九届五中全会以推动高质量发展为主题，提出加快形成以国内大循环为主体，国内国际双循环相互促进的新发展格局。而扩大中等收入群体，是新时代、新发展阶段推动高质量发展，构建新发展格局的题中应有之义。发展职业教育，提高劳动者技能，实现更加充分、更高质量的就业，是扩大中等收入群体的重要途径。继</w:t>
      </w:r>
      <w:r>
        <w:rPr>
          <w:rFonts w:eastAsia="仿宋" w:ascii="仿宋" w:hAnsi="仿宋"/>
          <w:sz w:val="28"/>
          <w:szCs w:val="28"/>
        </w:rPr>
        <w:t>2019</w:t>
      </w:r>
      <w:r>
        <w:rPr>
          <w:rFonts w:ascii="仿宋" w:hAnsi="仿宋" w:eastAsia="仿宋"/>
          <w:sz w:val="28"/>
          <w:szCs w:val="28"/>
        </w:rPr>
        <w:t>年高职院校扩招</w:t>
      </w:r>
      <w:r>
        <w:rPr>
          <w:rFonts w:eastAsia="仿宋" w:ascii="仿宋" w:hAnsi="仿宋"/>
          <w:sz w:val="28"/>
          <w:szCs w:val="28"/>
        </w:rPr>
        <w:t>100</w:t>
      </w:r>
      <w:r>
        <w:rPr>
          <w:rFonts w:ascii="仿宋" w:hAnsi="仿宋" w:eastAsia="仿宋"/>
          <w:sz w:val="28"/>
          <w:szCs w:val="28"/>
        </w:rPr>
        <w:t>万人之后，</w:t>
      </w:r>
      <w:r>
        <w:rPr>
          <w:rFonts w:eastAsia="仿宋" w:ascii="仿宋" w:hAnsi="仿宋"/>
          <w:sz w:val="28"/>
          <w:szCs w:val="28"/>
        </w:rPr>
        <w:t>2020</w:t>
      </w:r>
      <w:r>
        <w:rPr>
          <w:rFonts w:ascii="仿宋" w:hAnsi="仿宋" w:eastAsia="仿宋"/>
          <w:sz w:val="28"/>
          <w:szCs w:val="28"/>
        </w:rPr>
        <w:t>年和</w:t>
      </w:r>
      <w:r>
        <w:rPr>
          <w:rFonts w:eastAsia="仿宋" w:ascii="仿宋" w:hAnsi="仿宋"/>
          <w:sz w:val="28"/>
          <w:szCs w:val="28"/>
        </w:rPr>
        <w:t>2021</w:t>
      </w:r>
      <w:r>
        <w:rPr>
          <w:rFonts w:ascii="仿宋" w:hAnsi="仿宋" w:eastAsia="仿宋"/>
          <w:sz w:val="28"/>
          <w:szCs w:val="28"/>
        </w:rPr>
        <w:t>年高职院校继续扩招</w:t>
      </w:r>
      <w:r>
        <w:rPr>
          <w:rFonts w:eastAsia="仿宋" w:ascii="仿宋" w:hAnsi="仿宋"/>
          <w:sz w:val="28"/>
          <w:szCs w:val="28"/>
        </w:rPr>
        <w:t>200</w:t>
      </w:r>
      <w:r>
        <w:rPr>
          <w:rFonts w:ascii="仿宋" w:hAnsi="仿宋" w:eastAsia="仿宋"/>
          <w:sz w:val="28"/>
          <w:szCs w:val="28"/>
        </w:rPr>
        <w:t>万人，职业技能培训</w:t>
      </w:r>
      <w:r>
        <w:rPr>
          <w:rFonts w:eastAsia="仿宋" w:ascii="仿宋" w:hAnsi="仿宋"/>
          <w:sz w:val="28"/>
          <w:szCs w:val="28"/>
        </w:rPr>
        <w:t>3500</w:t>
      </w:r>
      <w:r>
        <w:rPr>
          <w:rFonts w:ascii="仿宋" w:hAnsi="仿宋" w:eastAsia="仿宋"/>
          <w:sz w:val="28"/>
          <w:szCs w:val="28"/>
        </w:rPr>
        <w:t>万人次以上，从而赋予了职业教育新的职责和使命，使其承载着提升劳动者素质、促进就业创业、提高劳动者收入，扩大中等收入群体、释放内需潜力，服务构建双循环发展格局的历史重任。</w:t>
      </w:r>
    </w:p>
    <w:p>
      <w:pPr>
        <w:pStyle w:val="Style14"/>
        <w:spacing w:lineRule="auto" w:line="360"/>
        <w:ind w:firstLineChars="200" w:firstLine="0"/>
        <w:rPr>
          <w:rFonts w:ascii="仿宋" w:hAnsi="仿宋" w:eastAsia="仿宋"/>
          <w:sz w:val="28"/>
          <w:szCs w:val="28"/>
        </w:rPr>
      </w:pPr>
      <w:r>
        <w:rPr>
          <w:rFonts w:ascii="仿宋" w:hAnsi="仿宋" w:eastAsia="仿宋"/>
          <w:sz w:val="28"/>
          <w:szCs w:val="28"/>
        </w:rPr>
        <w:t>以习近平新时代中国特色社会主义思想为指导，深入贯彻党的十九大和十九届二中、三中、四中全会精神，全面落实习近平总书记关于教育的重要论述和全国教育大会精神，以立德树人为根本，以报国强国为己任，以强化治理为关键，科学编制规划，民主编制规划，依法编制规划，为实现</w:t>
      </w:r>
      <w:r>
        <w:rPr>
          <w:rFonts w:eastAsia="仿宋" w:ascii="仿宋" w:hAnsi="仿宋"/>
          <w:sz w:val="28"/>
          <w:szCs w:val="28"/>
        </w:rPr>
        <w:t>2035</w:t>
      </w:r>
      <w:r>
        <w:rPr>
          <w:rFonts w:ascii="仿宋" w:hAnsi="仿宋" w:eastAsia="仿宋"/>
          <w:sz w:val="28"/>
          <w:szCs w:val="28"/>
        </w:rPr>
        <w:t>年教育现代化的奋斗目标夯实基础。</w:t>
      </w:r>
    </w:p>
    <w:p>
      <w:pPr>
        <w:pStyle w:val="Style14"/>
        <w:spacing w:lineRule="exact" w:line="520"/>
        <w:ind w:firstLineChars="200" w:firstLine="0"/>
        <w:rPr>
          <w:rFonts w:ascii="仿宋" w:hAnsi="仿宋" w:eastAsia="仿宋" w:cs="仿宋"/>
          <w:sz w:val="28"/>
          <w:szCs w:val="28"/>
        </w:rPr>
      </w:pPr>
      <w:r>
        <w:rPr>
          <w:rFonts w:ascii="仿宋" w:hAnsi="仿宋" w:cs="仿宋" w:eastAsia="仿宋"/>
          <w:sz w:val="28"/>
          <w:szCs w:val="28"/>
        </w:rPr>
        <w:t>深入贯彻落实习近平总书记重要讲话和全国教育大会精神，坚持三全育人的要求，全员全过程全方位育人，铸魂育人，立德</w:t>
      </w:r>
      <w:bookmarkStart w:id="0" w:name="_GoBack"/>
      <w:bookmarkEnd w:id="0"/>
      <w:r>
        <w:rPr>
          <w:rFonts w:ascii="仿宋" w:hAnsi="仿宋" w:cs="仿宋" w:eastAsia="仿宋"/>
          <w:sz w:val="28"/>
          <w:szCs w:val="28"/>
        </w:rPr>
        <w:t>树人，主动适应地方经济社会发展和人的全面发展需求、持续提高人才培养质量的基本内涵。按照“需求导向、自我保证，多元诊断、重在改进”的工作方针，遵循高职教育人才培养规律，切实履行人才培养工作质量保证的主体责任，深化教育教学质量管理改革，创新质量文化建设，确立质量竞争和质量责任意识，从关注质量结果转向更多地关注质量形成，强调全员参与、全程贯穿、全面覆盖的质量管理，建立质量保障长效机制，持续提高人才培养质量和办学水平。</w:t>
      </w:r>
    </w:p>
    <w:p>
      <w:pPr>
        <w:pStyle w:val="Style14"/>
        <w:snapToGrid w:val="false"/>
        <w:spacing w:lineRule="exact" w:line="520"/>
        <w:ind w:firstLineChars="200" w:firstLine="0"/>
        <w:rPr>
          <w:rFonts w:ascii="仿宋" w:hAnsi="仿宋" w:eastAsia="仿宋"/>
          <w:b/>
          <w:b/>
          <w:bCs/>
          <w:sz w:val="28"/>
          <w:szCs w:val="28"/>
        </w:rPr>
      </w:pPr>
      <w:r>
        <w:rPr>
          <w:rFonts w:ascii="仿宋" w:hAnsi="仿宋" w:eastAsia="仿宋"/>
          <w:b/>
          <w:bCs/>
          <w:sz w:val="28"/>
          <w:szCs w:val="28"/>
        </w:rPr>
        <w:t>（二）原则与方针</w:t>
      </w:r>
    </w:p>
    <w:p>
      <w:pPr>
        <w:pStyle w:val="Style14"/>
        <w:snapToGrid w:val="false"/>
        <w:spacing w:lineRule="auto" w:line="360"/>
        <w:ind w:firstLineChars="200" w:firstLine="0"/>
        <w:rPr>
          <w:rFonts w:ascii="仿宋" w:hAnsi="仿宋" w:eastAsia="仿宋"/>
          <w:sz w:val="28"/>
          <w:szCs w:val="28"/>
        </w:rPr>
      </w:pPr>
      <w:r>
        <w:rPr>
          <w:rFonts w:eastAsia="仿宋" w:ascii="仿宋" w:hAnsi="仿宋"/>
          <w:sz w:val="28"/>
          <w:szCs w:val="28"/>
        </w:rPr>
        <w:t>1.</w:t>
      </w:r>
      <w:r>
        <w:rPr>
          <w:rFonts w:ascii="仿宋" w:hAnsi="仿宋" w:eastAsia="仿宋"/>
          <w:sz w:val="28"/>
          <w:szCs w:val="28"/>
        </w:rPr>
        <w:t>持续性原则。编制“十四五”发展规划既要坚持与学校中长期发展规划相协调，又要注意与学校“十三五”发展规划实施情况相结合，保持政策的连续性和协调性，为未来五年改革发展提供指导方针、明确目标任务，为学校高质量发展提供基本依据与基础。</w:t>
      </w:r>
    </w:p>
    <w:p>
      <w:pPr>
        <w:pStyle w:val="Style14"/>
        <w:snapToGrid w:val="false"/>
        <w:spacing w:lineRule="auto" w:line="360"/>
        <w:rPr>
          <w:rFonts w:ascii="仿宋" w:hAnsi="仿宋" w:eastAsia="仿宋"/>
          <w:sz w:val="28"/>
          <w:szCs w:val="28"/>
        </w:rPr>
      </w:pPr>
      <w:r>
        <w:rPr>
          <w:rFonts w:ascii="仿宋" w:hAnsi="仿宋" w:eastAsia="仿宋"/>
          <w:sz w:val="28"/>
          <w:szCs w:val="28"/>
        </w:rPr>
        <w:t>　　</w:t>
      </w:r>
      <w:r>
        <w:rPr>
          <w:rFonts w:eastAsia="仿宋" w:ascii="仿宋" w:hAnsi="仿宋"/>
          <w:sz w:val="28"/>
          <w:szCs w:val="28"/>
        </w:rPr>
        <w:t>2.</w:t>
      </w:r>
      <w:r>
        <w:rPr>
          <w:rFonts w:ascii="仿宋" w:hAnsi="仿宋" w:eastAsia="仿宋"/>
          <w:sz w:val="28"/>
          <w:szCs w:val="28"/>
        </w:rPr>
        <w:t>发展性原则。编制“十四五”发展规划要及时把握职业教育改革和发展趋势，准确解读国家相关政策法规，客观分析本单位现有基础和存在的问题，深入挖掘发展潜力，做到科学性、前瞻性、可行性与发展性相结合，持续性发展与跨越式发展相结合，充分发挥发展规划的引导、规范和监督作用。</w:t>
      </w:r>
    </w:p>
    <w:p>
      <w:pPr>
        <w:pStyle w:val="Style14"/>
        <w:snapToGrid w:val="false"/>
        <w:spacing w:lineRule="auto" w:line="360"/>
        <w:rPr>
          <w:rFonts w:ascii="仿宋" w:hAnsi="仿宋" w:eastAsia="仿宋"/>
          <w:sz w:val="28"/>
          <w:szCs w:val="28"/>
        </w:rPr>
      </w:pPr>
      <w:r>
        <w:rPr>
          <w:rFonts w:ascii="仿宋" w:hAnsi="仿宋" w:eastAsia="仿宋"/>
          <w:sz w:val="28"/>
          <w:szCs w:val="28"/>
        </w:rPr>
        <w:t>　　</w:t>
      </w:r>
      <w:r>
        <w:rPr>
          <w:rFonts w:eastAsia="仿宋" w:ascii="仿宋" w:hAnsi="仿宋"/>
          <w:sz w:val="28"/>
          <w:szCs w:val="28"/>
        </w:rPr>
        <w:t>3.</w:t>
      </w:r>
      <w:r>
        <w:rPr>
          <w:rFonts w:ascii="仿宋" w:hAnsi="仿宋" w:eastAsia="仿宋"/>
          <w:sz w:val="28"/>
          <w:szCs w:val="28"/>
        </w:rPr>
        <w:t>系统性原则。编制“十四五”发展规划要系统设计、统筹规划，既要处理好“质量、结构、规模、效益”的关系，也要协调好“改革、发展、稳定”的关系，切实建立起各单位“十四五”发展规划与学校总体发展规划相互配套的体系，为实现本单位全面、协调、可持续发展提供保障。</w:t>
      </w:r>
    </w:p>
    <w:p>
      <w:pPr>
        <w:pStyle w:val="Style14"/>
        <w:snapToGrid w:val="false"/>
        <w:spacing w:lineRule="auto" w:line="360"/>
        <w:ind w:firstLineChars="200" w:firstLine="0"/>
        <w:rPr>
          <w:rFonts w:ascii="仿宋" w:hAnsi="仿宋" w:eastAsia="仿宋"/>
          <w:sz w:val="28"/>
          <w:szCs w:val="28"/>
        </w:rPr>
      </w:pPr>
      <w:r>
        <w:rPr>
          <w:rFonts w:eastAsia="仿宋" w:ascii="仿宋" w:hAnsi="仿宋"/>
          <w:sz w:val="28"/>
          <w:szCs w:val="28"/>
        </w:rPr>
        <w:t>4.</w:t>
      </w:r>
      <w:r>
        <w:rPr>
          <w:rFonts w:ascii="仿宋" w:hAnsi="仿宋" w:eastAsia="仿宋"/>
          <w:sz w:val="28"/>
          <w:szCs w:val="28"/>
        </w:rPr>
        <w:t>民主性原则。编制“十四五”事业发展规划要广泛征求各方意见，提高编制工作的参与度。</w:t>
      </w:r>
    </w:p>
    <w:p>
      <w:pPr>
        <w:pStyle w:val="Style14"/>
        <w:snapToGrid w:val="false"/>
        <w:spacing w:lineRule="auto" w:line="360"/>
        <w:ind w:firstLineChars="200" w:firstLine="0"/>
        <w:rPr>
          <w:rFonts w:ascii="仿宋" w:hAnsi="仿宋" w:eastAsia="仿宋"/>
          <w:sz w:val="28"/>
          <w:szCs w:val="28"/>
        </w:rPr>
      </w:pPr>
      <w:r>
        <w:rPr>
          <w:rFonts w:eastAsia="仿宋" w:ascii="仿宋" w:hAnsi="仿宋"/>
          <w:sz w:val="28"/>
          <w:szCs w:val="28"/>
        </w:rPr>
        <w:t>5.</w:t>
      </w:r>
      <w:r>
        <w:rPr>
          <w:rFonts w:ascii="仿宋" w:hAnsi="仿宋" w:eastAsia="仿宋"/>
          <w:sz w:val="28"/>
          <w:szCs w:val="28"/>
        </w:rPr>
        <w:t>可行性原则。“十四五”发展规划的具体目标，应充分体现递进性、操作性、可衡量性。发展规划中提出的各单位“十四五”期间发展目标要与质量目标相结合，提高可行性。</w:t>
      </w:r>
    </w:p>
    <w:p>
      <w:pPr>
        <w:pStyle w:val="Style14"/>
        <w:snapToGrid w:val="false"/>
        <w:spacing w:lineRule="exact" w:line="520"/>
        <w:ind w:firstLineChars="200" w:firstLine="0"/>
        <w:rPr>
          <w:rFonts w:ascii="仿宋" w:hAnsi="仿宋" w:eastAsia="仿宋"/>
          <w:b/>
          <w:b/>
          <w:bCs/>
          <w:sz w:val="28"/>
          <w:szCs w:val="28"/>
        </w:rPr>
      </w:pPr>
      <w:r>
        <w:rPr>
          <w:rFonts w:ascii="仿宋" w:hAnsi="仿宋" w:eastAsia="仿宋"/>
          <w:b/>
          <w:bCs/>
          <w:sz w:val="28"/>
          <w:szCs w:val="28"/>
        </w:rPr>
        <w:t>（三）发展目标</w:t>
      </w:r>
    </w:p>
    <w:p>
      <w:pPr>
        <w:pStyle w:val="Style14"/>
        <w:snapToGrid w:val="false"/>
        <w:spacing w:lineRule="auto" w:line="360"/>
        <w:ind w:firstLineChars="200" w:firstLine="0"/>
        <w:rPr>
          <w:rFonts w:ascii="仿宋" w:hAnsi="仿宋" w:eastAsia="仿宋"/>
          <w:sz w:val="28"/>
          <w:szCs w:val="28"/>
        </w:rPr>
      </w:pPr>
      <w:r>
        <w:rPr>
          <w:rFonts w:ascii="仿宋" w:hAnsi="仿宋" w:eastAsia="仿宋"/>
          <w:sz w:val="28"/>
          <w:szCs w:val="28"/>
        </w:rPr>
        <w:t>结合地方与市场需求，以创新驱动发展为宗旨，围绕产学结合创新体制，计划经</w:t>
      </w:r>
      <w:r>
        <w:rPr>
          <w:rFonts w:eastAsia="仿宋" w:ascii="仿宋" w:hAnsi="仿宋"/>
          <w:sz w:val="28"/>
          <w:szCs w:val="28"/>
        </w:rPr>
        <w:t>5</w:t>
      </w:r>
      <w:r>
        <w:rPr>
          <w:rFonts w:ascii="仿宋" w:hAnsi="仿宋" w:eastAsia="仿宋"/>
          <w:sz w:val="28"/>
          <w:szCs w:val="28"/>
        </w:rPr>
        <w:t>年创新和发展，探索出以“校企一体化办学”为发展理念和路径，着力为福州“数字经济”、“数字福建”的建设，培养以“互联网</w:t>
      </w:r>
      <w:r>
        <w:rPr>
          <w:rFonts w:eastAsia="仿宋" w:ascii="仿宋" w:hAnsi="仿宋"/>
          <w:sz w:val="28"/>
          <w:szCs w:val="28"/>
        </w:rPr>
        <w:t>+</w:t>
      </w:r>
      <w:r>
        <w:rPr>
          <w:rFonts w:ascii="仿宋" w:hAnsi="仿宋" w:eastAsia="仿宋"/>
          <w:sz w:val="28"/>
          <w:szCs w:val="28"/>
        </w:rPr>
        <w:t>”为主体的研发、设计、运营一线高素质技术技能型人才，并为学校升格为本科层次职业教育做好准备。</w:t>
      </w:r>
    </w:p>
    <w:p>
      <w:pPr>
        <w:pStyle w:val="Style14"/>
        <w:autoSpaceDE w:val="0"/>
        <w:autoSpaceDN w:val="0"/>
        <w:spacing w:lineRule="exact" w:line="520"/>
        <w:ind w:firstLineChars="200" w:firstLine="0"/>
        <w:rPr>
          <w:rFonts w:ascii="黑体" w:hAnsi="黑体" w:eastAsia="黑体"/>
          <w:sz w:val="28"/>
          <w:szCs w:val="28"/>
        </w:rPr>
      </w:pPr>
      <w:r>
        <w:rPr>
          <w:rFonts w:ascii="黑体" w:hAnsi="黑体" w:eastAsia="黑体"/>
          <w:sz w:val="28"/>
          <w:szCs w:val="28"/>
        </w:rPr>
        <w:t>三、主要任务和措施</w:t>
      </w:r>
    </w:p>
    <w:p>
      <w:pPr>
        <w:pStyle w:val="Style14"/>
        <w:snapToGrid w:val="false"/>
        <w:spacing w:lineRule="auto" w:line="360"/>
        <w:ind w:firstLineChars="200" w:firstLine="0"/>
        <w:rPr>
          <w:rFonts w:ascii="仿宋" w:hAnsi="仿宋" w:eastAsia="仿宋" w:cs="仿宋"/>
          <w:b/>
          <w:b/>
          <w:bCs/>
          <w:sz w:val="28"/>
          <w:szCs w:val="28"/>
        </w:rPr>
      </w:pPr>
      <w:r>
        <w:rPr>
          <w:rFonts w:ascii="仿宋" w:hAnsi="仿宋" w:cs="仿宋" w:eastAsia="仿宋"/>
          <w:b/>
          <w:bCs/>
          <w:sz w:val="28"/>
          <w:szCs w:val="28"/>
        </w:rPr>
        <w:t>（一）进一步构建招生体系</w:t>
      </w:r>
    </w:p>
    <w:p>
      <w:pPr>
        <w:pStyle w:val="Style14"/>
        <w:snapToGrid w:val="false"/>
        <w:spacing w:lineRule="auto" w:line="360"/>
        <w:ind w:firstLineChars="200" w:firstLine="0"/>
        <w:rPr>
          <w:rFonts w:ascii="仿宋" w:hAnsi="仿宋" w:eastAsia="仿宋"/>
          <w:sz w:val="28"/>
          <w:szCs w:val="28"/>
        </w:rPr>
      </w:pPr>
      <w:r>
        <w:rPr>
          <w:rFonts w:ascii="仿宋" w:hAnsi="仿宋" w:eastAsia="仿宋"/>
          <w:sz w:val="28"/>
          <w:szCs w:val="28"/>
        </w:rPr>
        <w:t>积极探索多方面招生途径，确保在</w:t>
      </w:r>
      <w:r>
        <w:rPr>
          <w:rFonts w:eastAsia="仿宋" w:ascii="仿宋" w:hAnsi="仿宋"/>
          <w:sz w:val="28"/>
          <w:szCs w:val="28"/>
        </w:rPr>
        <w:t>2022</w:t>
      </w:r>
      <w:r>
        <w:rPr>
          <w:rFonts w:ascii="仿宋" w:hAnsi="仿宋" w:eastAsia="仿宋"/>
          <w:sz w:val="28"/>
          <w:szCs w:val="28"/>
        </w:rPr>
        <w:t>年达到本科层次职业学校设置标准中生源数达到</w:t>
      </w:r>
      <w:r>
        <w:rPr>
          <w:rFonts w:eastAsia="仿宋" w:ascii="仿宋" w:hAnsi="仿宋"/>
          <w:sz w:val="28"/>
          <w:szCs w:val="28"/>
        </w:rPr>
        <w:t>8000</w:t>
      </w:r>
      <w:r>
        <w:rPr>
          <w:rFonts w:ascii="仿宋" w:hAnsi="仿宋" w:eastAsia="仿宋"/>
          <w:sz w:val="28"/>
          <w:szCs w:val="28"/>
        </w:rPr>
        <w:t>人在校生规模。校企合作共同制定专业人才培养方案，与行业企业开展深度合作，有</w:t>
      </w:r>
      <w:r>
        <w:rPr>
          <w:rFonts w:eastAsia="仿宋" w:ascii="仿宋" w:hAnsi="仿宋"/>
          <w:sz w:val="28"/>
          <w:szCs w:val="28"/>
        </w:rPr>
        <w:t>2</w:t>
      </w:r>
      <w:r>
        <w:rPr>
          <w:rFonts w:ascii="仿宋" w:hAnsi="仿宋" w:eastAsia="仿宋"/>
          <w:sz w:val="28"/>
          <w:szCs w:val="28"/>
        </w:rPr>
        <w:t>个及以上实质性运行的产教融合、校企合作项目（包括职业教育集团、现代学徒制、产业学院）。</w:t>
      </w:r>
    </w:p>
    <w:p>
      <w:pPr>
        <w:pStyle w:val="Style14"/>
        <w:spacing w:lineRule="exact" w:line="520" w:before="271" w:beforeAutospacing="0" w:afterLines="0" w:afterAutospacing="0"/>
        <w:ind w:right="97"/>
        <w:rPr>
          <w:rFonts w:ascii="仿宋" w:hAnsi="仿宋" w:eastAsia="仿宋" w:cs="仿宋"/>
          <w:sz w:val="28"/>
          <w:szCs w:val="28"/>
        </w:rPr>
      </w:pPr>
      <w:r>
        <w:rPr>
          <w:rFonts w:ascii="仿宋" w:hAnsi="仿宋" w:cs="仿宋" w:eastAsia="仿宋"/>
          <w:b/>
          <w:bCs/>
          <w:sz w:val="28"/>
          <w:szCs w:val="28"/>
        </w:rPr>
        <w:t>（二）构建校外实训基地</w:t>
      </w:r>
    </w:p>
    <w:p>
      <w:pPr>
        <w:pStyle w:val="NormalWeb"/>
        <w:widowControl/>
        <w:shd w:val="clear" w:color="auto" w:fill="FFFFFF"/>
        <w:spacing w:lineRule="atLeast" w:line="480"/>
        <w:ind w:firstLine="280"/>
        <w:textAlignment w:val="baseline"/>
        <w:rPr>
          <w:rFonts w:ascii="仿宋" w:hAnsi="仿宋" w:eastAsia="仿宋" w:cs="仿宋"/>
          <w:sz w:val="28"/>
          <w:szCs w:val="28"/>
        </w:rPr>
      </w:pPr>
      <w:r>
        <w:rPr>
          <w:rFonts w:ascii="仿宋" w:hAnsi="仿宋" w:cs="仿宋" w:eastAsia="仿宋"/>
          <w:sz w:val="28"/>
          <w:szCs w:val="28"/>
        </w:rPr>
        <w:t>校外实训基地建设，加大校企合作力度，与学校周边区域行业企业紧密合作，充分发挥行业企业的资源优势，重点建设一批生产性、区域性、综合性校外实训基地、顶岗实习基地和就业基地，为培养学生实践操作技能和实习就业搭建平台。每个专业至少</w:t>
      </w:r>
      <w:r>
        <w:rPr>
          <w:rFonts w:eastAsia="仿宋" w:cs="仿宋" w:ascii="仿宋" w:hAnsi="仿宋"/>
          <w:sz w:val="28"/>
          <w:szCs w:val="28"/>
        </w:rPr>
        <w:t>5</w:t>
      </w:r>
      <w:r>
        <w:rPr>
          <w:rFonts w:ascii="仿宋" w:hAnsi="仿宋" w:cs="仿宋" w:eastAsia="仿宋"/>
          <w:sz w:val="28"/>
          <w:szCs w:val="28"/>
        </w:rPr>
        <w:t>家深入合作企业</w:t>
      </w:r>
      <w:r>
        <w:rPr>
          <w:rFonts w:ascii="仿宋" w:hAnsi="仿宋" w:cs="Times New Roman" w:eastAsia="仿宋"/>
          <w:sz w:val="28"/>
          <w:szCs w:val="28"/>
        </w:rPr>
        <w:t>拟开展本科教育专业有合作稳定的规模以上企业。</w:t>
      </w:r>
      <w:r>
        <w:rPr>
          <w:rFonts w:ascii="仿宋" w:hAnsi="仿宋" w:cs="仿宋" w:eastAsia="仿宋"/>
          <w:sz w:val="28"/>
          <w:szCs w:val="28"/>
        </w:rPr>
        <w:t>。</w:t>
      </w:r>
    </w:p>
    <w:p>
      <w:pPr>
        <w:pStyle w:val="BodyTextIndent"/>
        <w:ind/>
        <w:rPr/>
      </w:pPr>
      <w:r>
        <w:rPr/>
      </w:r>
    </w:p>
    <w:p>
      <w:pPr>
        <w:pStyle w:val="Style14"/>
        <w:snapToGrid w:val="false"/>
        <w:spacing w:lineRule="exact" w:line="520"/>
        <w:ind w:firstLineChars="200" w:firstLine="0"/>
        <w:rPr>
          <w:rFonts w:ascii="黑体" w:hAnsi="黑体" w:eastAsia="黑体" w:cs="宋体"/>
          <w:bCs/>
          <w:kern w:val="0"/>
          <w:sz w:val="24"/>
          <w:szCs w:val="24"/>
        </w:rPr>
      </w:pPr>
      <w:r>
        <w:rPr>
          <w:rFonts w:ascii="黑体" w:hAnsi="黑体" w:eastAsia="黑体"/>
          <w:sz w:val="28"/>
          <w:szCs w:val="28"/>
        </w:rPr>
        <w:t>四、实施保障</w:t>
      </w:r>
    </w:p>
    <w:p>
      <w:pPr>
        <w:pStyle w:val="Style14"/>
        <w:spacing w:lineRule="exact" w:line="520"/>
        <w:ind w:firstLineChars="200" w:firstLine="0"/>
        <w:rPr>
          <w:rFonts w:ascii="仿宋" w:hAnsi="仿宋" w:eastAsia="仿宋" w:cs="仿宋"/>
          <w:b/>
          <w:b/>
          <w:bCs/>
          <w:sz w:val="28"/>
          <w:szCs w:val="28"/>
        </w:rPr>
      </w:pPr>
      <w:r>
        <w:rPr>
          <w:rFonts w:ascii="仿宋" w:hAnsi="仿宋" w:cs="仿宋" w:eastAsia="仿宋"/>
          <w:b/>
          <w:bCs/>
          <w:sz w:val="28"/>
          <w:szCs w:val="28"/>
        </w:rPr>
        <w:t>（一）组织保障</w:t>
      </w:r>
    </w:p>
    <w:p>
      <w:pPr>
        <w:pStyle w:val="Style14"/>
        <w:spacing w:lineRule="exact" w:line="520"/>
        <w:ind w:firstLineChars="200" w:firstLine="0"/>
        <w:rPr>
          <w:rFonts w:ascii="仿宋" w:hAnsi="仿宋" w:eastAsia="仿宋" w:cs="仿宋"/>
          <w:sz w:val="28"/>
          <w:szCs w:val="28"/>
        </w:rPr>
      </w:pPr>
      <w:r>
        <w:rPr>
          <w:rFonts w:ascii="仿宋" w:hAnsi="仿宋" w:cs="仿宋" w:eastAsia="仿宋"/>
          <w:sz w:val="28"/>
          <w:szCs w:val="28"/>
        </w:rPr>
        <w:t>优化招生工作领导小组的具体实施细则，近年来生源数量的不断扩充，生源基地校的也不断增加，需维持好生源基地校之间良好共建关系，按照区域来划分。迎新时可采用数字大屏形式，运用大数据，智慧校园建设提高我院信息化水平。建立健全招生服务小组，来访人员的接待小组，以学生群体为主对教育教学、实习实训基地能作为很好的讲解。</w:t>
      </w:r>
    </w:p>
    <w:p>
      <w:pPr>
        <w:pStyle w:val="Style14"/>
        <w:spacing w:lineRule="exact" w:line="520"/>
        <w:ind w:firstLineChars="200" w:firstLine="0"/>
        <w:rPr>
          <w:rFonts w:ascii="仿宋" w:hAnsi="仿宋" w:eastAsia="仿宋" w:cs="仿宋"/>
          <w:b/>
          <w:b/>
          <w:bCs/>
          <w:sz w:val="28"/>
          <w:szCs w:val="28"/>
        </w:rPr>
      </w:pPr>
      <w:r>
        <w:rPr>
          <w:rFonts w:ascii="仿宋" w:hAnsi="仿宋" w:cs="仿宋" w:eastAsia="仿宋"/>
          <w:b/>
          <w:bCs/>
          <w:sz w:val="28"/>
          <w:szCs w:val="28"/>
        </w:rPr>
        <w:t>（二）制度保障</w:t>
      </w:r>
    </w:p>
    <w:p>
      <w:pPr>
        <w:pStyle w:val="Style14"/>
        <w:spacing w:lineRule="exact" w:line="520"/>
        <w:ind w:firstLineChars="200" w:firstLine="0"/>
        <w:rPr>
          <w:rFonts w:ascii="仿宋" w:hAnsi="仿宋" w:eastAsia="仿宋" w:cs="仿宋"/>
          <w:sz w:val="28"/>
          <w:szCs w:val="28"/>
        </w:rPr>
      </w:pPr>
      <w:r>
        <w:rPr>
          <w:rFonts w:ascii="仿宋" w:hAnsi="仿宋" w:cs="仿宋" w:eastAsia="仿宋"/>
          <w:sz w:val="28"/>
          <w:szCs w:val="28"/>
        </w:rPr>
        <w:t>学校应组织建立考核激励制度，健全深度教育教学评价改革机制与学校招生就业工作相结合，建立绩效机制。对学校招生工作有帮助的学生或教师可给予奖励倾斜，在优秀学生干部、评优评先等考核形式上做一定倾斜。</w:t>
      </w:r>
    </w:p>
    <w:p>
      <w:pPr>
        <w:pStyle w:val="Style14"/>
        <w:spacing w:lineRule="exact" w:line="520"/>
        <w:ind w:firstLineChars="200" w:firstLine="0"/>
        <w:rPr>
          <w:rFonts w:ascii="仿宋" w:hAnsi="仿宋" w:eastAsia="仿宋" w:cs="仿宋"/>
          <w:b/>
          <w:b/>
          <w:bCs/>
          <w:sz w:val="28"/>
          <w:szCs w:val="28"/>
        </w:rPr>
      </w:pPr>
      <w:r>
        <w:rPr>
          <w:rFonts w:ascii="仿宋" w:hAnsi="仿宋" w:cs="仿宋" w:eastAsia="仿宋"/>
          <w:b/>
          <w:bCs/>
          <w:sz w:val="28"/>
          <w:szCs w:val="28"/>
        </w:rPr>
        <w:t>（三）经费保障</w:t>
      </w:r>
    </w:p>
    <w:p>
      <w:pPr>
        <w:pStyle w:val="Style14"/>
        <w:spacing w:lineRule="exact" w:line="520"/>
        <w:ind w:firstLineChars="200" w:firstLine="0"/>
        <w:rPr>
          <w:rFonts w:ascii="仿宋" w:hAnsi="仿宋" w:eastAsia="仿宋" w:cs="仿宋"/>
          <w:sz w:val="28"/>
          <w:szCs w:val="28"/>
        </w:rPr>
      </w:pPr>
      <w:r>
        <w:rPr>
          <w:rFonts w:ascii="仿宋" w:hAnsi="仿宋" w:cs="仿宋" w:eastAsia="仿宋"/>
          <w:sz w:val="28"/>
          <w:szCs w:val="28"/>
        </w:rPr>
        <w:t>科学分析实现目标任务所需的资源条件，提供必要的人、财、物支持。在学校预算经费中，保证经费足额投入、合理使用，在财务核销方面能够优化报销流程多运用信息化手段，为十四五目标任务完成提供保障。</w:t>
      </w:r>
    </w:p>
    <w:p>
      <w:pPr>
        <w:pStyle w:val="Style14"/>
        <w:widowControl/>
        <w:spacing w:lineRule="exact" w:line="520"/>
        <w:jc w:val="left"/>
        <w:rPr>
          <w:rFonts w:ascii="黑体" w:hAnsi="黑体" w:eastAsia="黑体" w:cs="宋体"/>
          <w:bCs/>
          <w:kern w:val="0"/>
          <w:sz w:val="24"/>
          <w:szCs w:val="24"/>
        </w:rPr>
      </w:pPr>
      <w:r>
        <w:rPr>
          <w:rFonts w:eastAsia="黑体" w:cs="宋体" w:ascii="黑体" w:hAnsi="黑体"/>
          <w:bCs/>
          <w:kern w:val="0"/>
          <w:sz w:val="24"/>
          <w:szCs w:val="24"/>
        </w:rPr>
      </w:r>
    </w:p>
    <w:p>
      <w:pPr>
        <w:pStyle w:val="Style14"/>
        <w:spacing w:lineRule="exact" w:line="520"/>
        <w:rPr/>
      </w:pPr>
      <w:r>
        <w:rPr/>
      </w:r>
    </w:p>
    <w:sectPr>
      <w:type w:val="nextPage"/>
      <w:pgSz w:w="11906" w:h="16838"/>
      <w:pgMar w:left="1800" w:right="1800" w:header="0" w:top="1440" w:footer="0" w:bottom="1440" w:gutter="0"/>
      <w:pgNumType w:fmt="decimal"/>
      <w:formProt w:val="false"/>
      <w:textDirection w:val="lrTb"/>
      <w:docGrid w:type="lines" w:linePitch="312" w:charSpace="4300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86"/>
    <w:family w:val="roman"/>
    <w:pitch w:val="variable"/>
  </w:font>
  <w:font w:name="Times New Roman">
    <w:charset w:val="86"/>
    <w:family w:val="roman"/>
    <w:pitch w:val="variable"/>
  </w:font>
  <w:font w:name="宋体">
    <w:charset w:val="86"/>
    <w:family w:val="roman"/>
    <w:pitch w:val="variable"/>
  </w:font>
  <w:font w:name="黑体">
    <w:charset w:val="86"/>
    <w:family w:val="roman"/>
    <w:pitch w:val="variable"/>
  </w:font>
  <w:font w:name="仿宋">
    <w:charset w:val="86"/>
    <w:family w:val="roman"/>
    <w:pitch w:val="variable"/>
  </w:font>
  <w:font w:name="仿宋">
    <w:charset w:val="01"/>
    <w:family w:val="modern"/>
    <w:pitch w:val="fixed"/>
  </w:font>
</w:fonts>
</file>

<file path=word/settings.xml><?xml version="1.0" encoding="utf-8"?>
<w:settings xmlns:w="http://schemas.openxmlformats.org/wordprocessingml/2006/main">
  <w:zoom w:percent="90"/>
  <w:embedSystemFonts/>
  <w:defaultTabStop w:val="420"/>
  <w:autoHyphenation w:val="true"/>
  <w:compat>
    <w:doNotExpandShiftReturn/>
    <w:balanceSingleByteDoubleByteWidth/>
    <w:ulTrailSpace/>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en-US" w:eastAsia="zh-CN" w:bidi="ar-SA"/>
      </w:rPr>
    </w:rPrDefault>
    <w:pPrDefault>
      <w:pPr>
        <w:suppressAutoHyphens w:val="fals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Body Text First Indent" w:uiPriority="99" w:unhideWhenUsed="1" w:qFormat="1"/>
    <w:lsdException w:name="Strong" w:qFormat="1"/>
    <w:lsdException w:name="Emphasis" w:qFormat="1"/>
    <w:lsdException w:name="HTML Top of Form" w:uiPriority="99" w:semiHidden="1" w:unhideWhenUsed="1"/>
    <w:lsdException w:name="HTML Bottom of Form" w:uiPriority="99" w:semiHidden="1" w:unhideWhenUsed="1"/>
    <w:lsdException w:name="Normal (Web)" w:qFormat="1"/>
    <w:lsdException w:name="Normal Table" w:semiHidden="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Placeholder Text" w:uiPriority="99" w:semiHidden="1" w:unhideWhenUsed="1"/>
    <w:lsdException w:name="No Spacing" w:uiPriority="99"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99" w:semiHidden="1" w:unhideWhenUsed="1"/>
    <w:lsdException w:name="Quote" w:uiPriority="99" w:semiHidden="1" w:unhideWhenUsed="1"/>
    <w:lsdException w:name="Intense Quote" w:uiPriority="99"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Style14" w:default="1">
    <w:name w:val="正文"/>
    <w:next w:val="BodyTextIndent"/>
    <w:qFormat/>
    <w:rsid w:val="00c02360"/>
    <w:pPr>
      <w:widowControl w:val="false"/>
      <w:bidi w:val="0"/>
      <w:spacing w:beforeLines="0" w:beforeAutospacing="0" w:afterLines="0" w:afterAutospacing="0"/>
      <w:jc w:val="both"/>
    </w:pPr>
    <w:rPr>
      <w:rFonts w:ascii="Calibri" w:hAnsi="Calibri" w:eastAsia="宋体" w:cs="Times New Roman"/>
      <w:color w:val="auto"/>
      <w:kern w:val="2"/>
      <w:sz w:val="21"/>
      <w:szCs w:val="21"/>
      <w:lang w:val="en-US" w:eastAsia="zh-CN" w:bidi="ar-SA"/>
    </w:rPr>
  </w:style>
  <w:style w:type="paragraph" w:styleId="BodyTextIndent">
    <w:name w:val="Body Text Indent"/>
    <w:basedOn w:val="Style15"/>
    <w:uiPriority w:val="99"/>
    <w:unhideWhenUsed/>
    <w:qFormat/>
    <w:rsid w:val="00c02360"/>
    <w:pPr>
      <w:ind w:firstLineChars="100" w:firstLine="0"/>
    </w:pPr>
    <w:rPr>
      <w:rFonts w:ascii="Calibri" w:hAnsi="Calibri"/>
      <w:kern w:val="0"/>
      <w:sz w:val="20"/>
      <w:szCs w:val="20"/>
    </w:rPr>
  </w:style>
  <w:style w:type="paragraph" w:styleId="Style15">
    <w:name w:val="正文文本"/>
    <w:basedOn w:val="Style14"/>
    <w:uiPriority w:val="1"/>
    <w:qFormat/>
    <w:rsid w:val="00c02360"/>
    <w:pPr/>
    <w:rPr>
      <w:rFonts w:ascii="宋体" w:hAnsi="宋体" w:cs="宋体"/>
      <w:sz w:val="32"/>
      <w:szCs w:val="32"/>
    </w:rPr>
  </w:style>
  <w:style w:type="paragraph" w:styleId="NormalWeb">
    <w:name w:val="Normal (Web)"/>
    <w:basedOn w:val="Style14"/>
    <w:qFormat/>
    <w:rsid w:val="004d567d"/>
    <w:pPr/>
    <w:rPr>
      <w:rFonts w:ascii="Calibri" w:hAnsi="Calibri" w:eastAsia="宋体" w:cs="" w:asciiTheme="minorHAnsi" w:cstheme="minorBidi" w:eastAsiaTheme="minorEastAsia" w:hAnsiTheme="minorHAnsi"/>
      <w:sz w:val="24"/>
      <w:szCs w:val="24"/>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Application>LanShanOffice/1.4.1.10907$Windows_X86_64 LibreOffice_project/9c1eafdd6df65fffc15a828d5a9fd7d92823ade4</Application>
  <AppVersion>15.0000</AppVersion>
  <Pages>6</Pages>
  <Words>3349</Words>
  <Characters>3444</Characters>
  <CharactersWithSpaces>3448</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2021-06-01T00:39:00Z</dcterms:created>
  <dc:creator>AM</dc:creator>
  <dc:description/>
  <dc:language>zh-CN</dc:language>
  <cp:lastModifiedBy/>
  <cp:lastPrinted>2021-06-02T02:28:00Z</cp:lastPrinted>
  <dcterms:modified xsi:type="dcterms:W3CDTF">2021-09-20T13:53:54Z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3088CCAECC8F4436ACA2CA577B1A0F1F</vt:lpwstr>
  </property>
  <property fmtid="{D5CDD505-2E9C-101B-9397-08002B2CF9AE}" pid="3" name="KSOProductBuildVer">
    <vt:lpwstr>2052-11.1.0.10495</vt:lpwstr>
  </property>
</Properties>
</file>