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7F8A3">
      <w:pPr>
        <w:spacing w:line="246" w:lineRule="auto"/>
        <w:rPr>
          <w:rFonts w:ascii="Arial"/>
          <w:sz w:val="21"/>
        </w:rPr>
      </w:pPr>
    </w:p>
    <w:p w14:paraId="65ED2FAD">
      <w:pPr>
        <w:jc w:val="distribute"/>
        <w:rPr>
          <w:rFonts w:ascii="宋体" w:hAnsi="宋体" w:cs="宋体"/>
          <w:b/>
          <w:bCs/>
          <w:color w:val="FF0000"/>
          <w:w w:val="90"/>
          <w:sz w:val="96"/>
          <w:szCs w:val="96"/>
        </w:rPr>
      </w:pPr>
      <w:bookmarkStart w:id="0" w:name="_GoBack"/>
      <w:r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  <w:t>福州软件职业技术学院</w:t>
      </w:r>
    </w:p>
    <w:bookmarkEnd w:id="0"/>
    <w:p w14:paraId="6F61D1E1">
      <w:pPr>
        <w:spacing w:line="640" w:lineRule="exact"/>
        <w:jc w:val="center"/>
        <w:rPr>
          <w:rFonts w:hint="eastAsia" w:ascii="仿宋_GB2312" w:hAnsi="黑体" w:eastAsia="仿宋_GB2312"/>
          <w:sz w:val="32"/>
          <w:szCs w:val="32"/>
        </w:rPr>
      </w:pPr>
    </w:p>
    <w:p w14:paraId="61817291">
      <w:pPr>
        <w:spacing w:line="640" w:lineRule="exact"/>
        <w:jc w:val="center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福软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 w14:paraId="10FE5E32">
      <w:pPr>
        <w:pStyle w:val="5"/>
        <w:ind w:firstLine="200"/>
      </w:pPr>
    </w:p>
    <w:p w14:paraId="6E39FC4F">
      <w:pPr>
        <w:rPr>
          <w:rFonts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49530</wp:posOffset>
                </wp:positionV>
                <wp:extent cx="6108065" cy="3810"/>
                <wp:effectExtent l="0" t="19050" r="6985" b="342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806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6pt;margin-top:3.9pt;height:0.3pt;width:480.95pt;z-index:251659264;mso-width-relative:page;mso-height-relative:page;" filled="f" stroked="t" coordsize="21600,21600" o:gfxdata="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2qi2x1wAAAAcBAAAPAAAAAAAAAAEAIAAAACIAAABkcnMv&#10;ZG93bnJldi54bWxQSwECFAAUAAAACACHTuJA5dzqpgQCAAAABAAADgAAAAAAAAABACAAAAAmAQAA&#10;ZHJzL2Uyb0RvYy54bWxQSwUGAAAAAAYABgBZAQAAn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A0FD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关于印发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《福州软件职业学院教学工作量计算办法（修订）》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的通知</w:t>
      </w:r>
    </w:p>
    <w:p w14:paraId="168B7A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7FEBF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各学院（部），各部（处、室、中心、馆）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：</w:t>
      </w:r>
    </w:p>
    <w:p w14:paraId="26733E5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现将《福州软件职业学院教学工作量计算办法（修订）》印发给你们，请遵照执行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。</w:t>
      </w:r>
    </w:p>
    <w:p w14:paraId="193ADF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C5D94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B285E5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福州软件职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业技术学院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教务处  </w:t>
      </w:r>
    </w:p>
    <w:p w14:paraId="57A59BD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75BF2D2C">
      <w:pPr>
        <w:rPr>
          <w:rFonts w:hint="eastAsia" w:ascii="宋体" w:hAnsi="宋体" w:eastAsia="宋体" w:cs="Times New Roman"/>
          <w:b/>
          <w:snapToGrid/>
          <w:kern w:val="0"/>
          <w:sz w:val="44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napToGrid/>
          <w:kern w:val="0"/>
          <w:sz w:val="44"/>
          <w:szCs w:val="32"/>
          <w:lang w:val="en-US" w:eastAsia="zh-CN"/>
        </w:rPr>
        <w:br w:type="page"/>
      </w:r>
    </w:p>
    <w:p w14:paraId="134F9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ascii="Arial"/>
          <w:sz w:val="21"/>
        </w:rPr>
      </w:pPr>
      <w:r>
        <w:rPr>
          <w:rFonts w:hint="eastAsia" w:ascii="宋体" w:hAnsi="宋体" w:eastAsia="宋体" w:cs="Times New Roman"/>
          <w:b/>
          <w:snapToGrid/>
          <w:kern w:val="0"/>
          <w:sz w:val="44"/>
          <w:szCs w:val="32"/>
          <w:lang w:val="en-US" w:eastAsia="zh-CN"/>
        </w:rPr>
        <w:t>福州软件</w:t>
      </w:r>
      <w:r>
        <w:rPr>
          <w:rFonts w:hint="eastAsia" w:ascii="宋体" w:hAnsi="宋体" w:eastAsia="宋体" w:cs="Times New Roman"/>
          <w:b/>
          <w:snapToGrid/>
          <w:kern w:val="0"/>
          <w:sz w:val="44"/>
          <w:szCs w:val="32"/>
          <w:lang w:eastAsia="zh-CN"/>
        </w:rPr>
        <w:t>职业学院教学工作量计算办法（修订）</w:t>
      </w:r>
    </w:p>
    <w:p w14:paraId="495B36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</w:pPr>
    </w:p>
    <w:p w14:paraId="42FC2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  <w:t>第一章  总则</w:t>
      </w:r>
    </w:p>
    <w:p w14:paraId="46EC55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333333"/>
          <w:kern w:val="0"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 xml:space="preserve">  为充分调动广大教师从事教学工作的积极性和主动性，客观合理地衡量教师履行岗位职责情况，结合教师承担教学任务的实际情况，特制定本办法。</w:t>
      </w:r>
    </w:p>
    <w:p w14:paraId="6EFE04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333333"/>
          <w:kern w:val="0"/>
          <w:sz w:val="32"/>
          <w:szCs w:val="32"/>
          <w:lang w:val="en-US" w:eastAsia="zh-CN"/>
        </w:rPr>
        <w:t>第二条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教师教学工作量分为“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教学工作量”和“其他工作量”两部分。课程教学工作量包括必修课、各类选修课、重修课、辅修课、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技能竞赛指导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以及各个实践教学环节等。其他教学工作量主要包括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听课和参加教研活动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。</w:t>
      </w:r>
    </w:p>
    <w:p w14:paraId="03EBD5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333333"/>
          <w:kern w:val="0"/>
          <w:sz w:val="32"/>
          <w:szCs w:val="32"/>
          <w:lang w:val="en-US" w:eastAsia="zh-CN"/>
        </w:rPr>
        <w:t>第三条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课程教学工作量的计量单位为标准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学时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（以下简称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学时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），其他教学工作量按相应办法折合成标准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学时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进行计量。</w:t>
      </w:r>
    </w:p>
    <w:p w14:paraId="74D357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333333"/>
          <w:kern w:val="0"/>
          <w:sz w:val="32"/>
          <w:szCs w:val="32"/>
          <w:lang w:val="en-US" w:eastAsia="zh-CN"/>
        </w:rPr>
        <w:t>第四条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 xml:space="preserve">  课程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教学工作量以各专业教学计划为执行依据，按照学院下达的教学任务书和实际执行情况予以计算。未经过学院批准而增加的课程或者环节不予计算教学工作量。</w:t>
      </w:r>
    </w:p>
    <w:p w14:paraId="5E0C92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  <w:t>第二章  专任教师教学工作量要求</w:t>
      </w:r>
    </w:p>
    <w:p w14:paraId="6DA611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3" w:firstLineChars="200"/>
        <w:jc w:val="both"/>
        <w:textAlignment w:val="auto"/>
        <w:rPr>
          <w:rFonts w:hint="default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333333"/>
          <w:kern w:val="0"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 xml:space="preserve">  专任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教师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教学工作量要求</w:t>
      </w:r>
    </w:p>
    <w:p w14:paraId="15A51B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专任教师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教学工作量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每学期为20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学时（180+2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），即每学年为4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学时（360+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）。</w:t>
      </w:r>
    </w:p>
    <w:p w14:paraId="35BB0F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课程教学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工作量</w:t>
      </w:r>
    </w:p>
    <w:p w14:paraId="3177BE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1.专任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教师每学年应完成的教学工作量为每周10学时，每学年360学时（10学时×18周×2个学期），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周学时不超过22学时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。</w:t>
      </w:r>
    </w:p>
    <w:p w14:paraId="37CCB4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2.教学单位院长、副院长（含马克思主义学院、通识教育中心和军体部正副职）工作量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每学年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学时，周学时不超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8学时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。</w:t>
      </w:r>
    </w:p>
    <w:p w14:paraId="11961E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3.专业群主任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、专业教研室正（副）主任工作量每周6学时，每学年216学时（6学时×18周×2学期），周学时不超1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2学时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；课程教研室主任每周减免1.5学时，每学年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减免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54学时（1.5学时×18周×2学期）。</w:t>
      </w:r>
    </w:p>
    <w:p w14:paraId="0D425C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其他工作量</w:t>
      </w:r>
    </w:p>
    <w:p w14:paraId="343DEE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（1）听课：每学期8学时，一学年16学时。</w:t>
      </w:r>
    </w:p>
    <w:p w14:paraId="41859B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（2）教研活动：每学期1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次，每次1学时，共1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学时，一学年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学时。</w:t>
      </w:r>
    </w:p>
    <w:p w14:paraId="16C439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  <w:t>第三章  专任教师课程教学工作量计算办法</w:t>
      </w:r>
    </w:p>
    <w:p w14:paraId="51B864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333333"/>
          <w:kern w:val="0"/>
          <w:sz w:val="32"/>
          <w:szCs w:val="32"/>
          <w:lang w:val="en-US" w:eastAsia="zh-CN"/>
        </w:rPr>
        <w:t>第六条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 xml:space="preserve">  AB类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课程教学工作量的计算</w:t>
      </w:r>
    </w:p>
    <w:p w14:paraId="1036EF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AB类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课程教学工作量包括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课程标准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授课计划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教案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编制、备课、授课、辅导答疑或指导、批改作业、测验或考核、出卷、阅卷、成绩录入等教学环节。</w:t>
      </w:r>
    </w:p>
    <w:p w14:paraId="2B43E9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（一）人数系数K1</w:t>
      </w:r>
    </w:p>
    <w:p w14:paraId="05E60D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学生人数为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0人以下的教学班，每节课按1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学时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计算，学生人数在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0人以上，每增加1人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人数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系数递增0.01，递增至0.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封顶。</w:t>
      </w:r>
    </w:p>
    <w:p w14:paraId="0E476B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（二）课程教学工作量计算办法</w:t>
      </w:r>
    </w:p>
    <w:p w14:paraId="432096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授课工作量A=B×K1，其中B为实际教学标准学时</w:t>
      </w:r>
    </w:p>
    <w:p w14:paraId="5342F7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333333"/>
          <w:kern w:val="0"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 xml:space="preserve">  C类课程（实践课程）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教学工作量的计算</w:t>
      </w:r>
    </w:p>
    <w:p w14:paraId="2D9405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实践教学工作量（专项实训、综合实训、岗位实习、毕业设计、毕业创作）包括组织、管理、备课、准备、授课、检查、指导、成绩评定、成绩录入、总结等全过程。</w:t>
      </w:r>
    </w:p>
    <w:p w14:paraId="4278B6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（一）指导学生进行专项、综合实训，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工作量计算办法同课程教学工作量计算办法。</w:t>
      </w:r>
    </w:p>
    <w:p w14:paraId="12ECE1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（二）担任助教，与校外指导教师共同开展专项、综合实训（管理、审阅实训报告、成绩录入等过程），工作量按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4学时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/天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计算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。</w:t>
      </w:r>
    </w:p>
    <w:p w14:paraId="688848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（三）指导顶岗实习（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五年专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）的教学工作量按“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  <w:t>学时/生”计算；指导岗位实习（含专业认知、跟岗实习和顶岗实习）的教学工作量按“5学时/生”计算；指导毕业设计的教学工作量按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“2学时/生”计算。</w:t>
      </w:r>
    </w:p>
    <w:p w14:paraId="0E6B9B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333333"/>
          <w:kern w:val="0"/>
          <w:sz w:val="32"/>
          <w:szCs w:val="32"/>
          <w:lang w:val="en-US" w:eastAsia="zh-CN"/>
        </w:rPr>
        <w:t>第八条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 xml:space="preserve">  线上课程教学工作量的计算</w:t>
      </w:r>
    </w:p>
    <w:p w14:paraId="2AA109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（一）第三方提供MOOC课程，学校教师负责过程管理、证书收集、成绩录入等工作，按每100人3学时计算。</w:t>
      </w:r>
    </w:p>
    <w:p w14:paraId="54DB89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（二）教师自建MOOC课程，负责课程建设、过程管理、答疑、考核、证书收集、成绩录入等工作，按每100人6学时计算。</w:t>
      </w:r>
    </w:p>
    <w:p w14:paraId="3705E3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（三）线上直播课程，按照线下教学工作量计算办法执行。</w:t>
      </w:r>
    </w:p>
    <w:p w14:paraId="2B7398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  <w:t>第四章  专任教师其他工作量计算办法</w:t>
      </w:r>
    </w:p>
    <w:p w14:paraId="54F5C3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b/>
          <w:bCs/>
          <w:snapToGrid/>
          <w:color w:val="333333"/>
          <w:kern w:val="0"/>
          <w:sz w:val="32"/>
          <w:szCs w:val="32"/>
          <w:lang w:val="en-US" w:eastAsia="en-US"/>
        </w:rPr>
        <w:t>第</w:t>
      </w:r>
      <w:r>
        <w:rPr>
          <w:rFonts w:hint="eastAsia" w:ascii="仿宋" w:hAnsi="仿宋" w:eastAsia="仿宋" w:cs="仿宋"/>
          <w:b/>
          <w:bCs/>
          <w:snapToGrid/>
          <w:color w:val="333333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napToGrid/>
          <w:color w:val="333333"/>
          <w:kern w:val="0"/>
          <w:sz w:val="32"/>
          <w:szCs w:val="32"/>
          <w:lang w:val="en-US" w:eastAsia="en-US"/>
        </w:rPr>
        <w:t>条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专任教师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其他工作量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主要包含以下部分工作：</w:t>
      </w:r>
    </w:p>
    <w:p w14:paraId="2BA599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（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）听课</w:t>
      </w:r>
    </w:p>
    <w:p w14:paraId="2E2DA7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教师每学期要有8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学时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的听课，要求教师学期初需将本学期的听课计划上报至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教学质量管理与科研处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，包括随机抽查听课状况和按时上交教师工作手册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。一旦发现与计划不符的听课，将不给予计入工作量计算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，并按照不满部分扣减工作量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。</w:t>
      </w:r>
    </w:p>
    <w:p w14:paraId="531D3D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（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）教研活动</w:t>
      </w:r>
    </w:p>
    <w:p w14:paraId="1B25C0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每学期1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次，每次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计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1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学时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，共1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6学时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，一学年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32学时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。要有详细的教研活动安排和记录，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教学单位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检查与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教学质量管理与科研处、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教务处抽查结合，一旦发现与计划不符，将不给予计入工作量计算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，并按照不满部分扣减工作量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en-US"/>
        </w:rPr>
        <w:t>。</w:t>
      </w:r>
    </w:p>
    <w:p w14:paraId="4C8B4A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en-US"/>
        </w:rPr>
        <w:t>第</w:t>
      </w:r>
      <w:r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en-US"/>
        </w:rPr>
        <w:t>章</w:t>
      </w:r>
      <w:r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  <w:t xml:space="preserve">  专任教师超工作量课酬核算办法</w:t>
      </w:r>
    </w:p>
    <w:p w14:paraId="2081BF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left"/>
        <w:textAlignment w:val="auto"/>
        <w:rPr>
          <w:rFonts w:hint="default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napToGrid/>
          <w:color w:val="333333"/>
          <w:kern w:val="0"/>
          <w:sz w:val="32"/>
          <w:szCs w:val="32"/>
          <w:lang w:val="en-US" w:eastAsia="zh-CN"/>
        </w:rPr>
        <w:t>第十条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 xml:space="preserve">  超工作量课酬核算办法</w:t>
      </w:r>
    </w:p>
    <w:p w14:paraId="45194E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超工作量课酬标准</w:t>
      </w:r>
    </w:p>
    <w:p w14:paraId="3B4225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仿宋" w:hAnsi="仿宋" w:eastAsia="仿宋" w:cs="仿宋"/>
          <w:snapToGrid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24"/>
          <w:szCs w:val="24"/>
          <w:lang w:eastAsia="zh-CN"/>
        </w:rPr>
        <w:t>表</w:t>
      </w:r>
      <w:r>
        <w:rPr>
          <w:rFonts w:hint="eastAsia" w:ascii="仿宋" w:hAnsi="仿宋" w:eastAsia="仿宋" w:cs="仿宋"/>
          <w:snapToGrid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napToGrid/>
          <w:color w:val="333333"/>
          <w:kern w:val="0"/>
          <w:sz w:val="24"/>
          <w:szCs w:val="24"/>
          <w:lang w:eastAsia="zh-CN"/>
        </w:rPr>
        <w:t xml:space="preserve">  专任教师、</w:t>
      </w:r>
      <w:r>
        <w:rPr>
          <w:rFonts w:hint="eastAsia" w:ascii="仿宋" w:hAnsi="仿宋" w:eastAsia="仿宋" w:cs="仿宋"/>
          <w:snapToGrid/>
          <w:color w:val="333333"/>
          <w:kern w:val="0"/>
          <w:sz w:val="24"/>
          <w:szCs w:val="24"/>
          <w:lang w:val="en-US" w:eastAsia="zh-CN"/>
        </w:rPr>
        <w:t>行政兼课超工作量课酬标准（单位:元/学时）</w:t>
      </w:r>
    </w:p>
    <w:tbl>
      <w:tblPr>
        <w:tblStyle w:val="6"/>
        <w:tblW w:w="7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537"/>
        <w:gridCol w:w="1486"/>
        <w:gridCol w:w="1352"/>
        <w:gridCol w:w="1328"/>
      </w:tblGrid>
      <w:tr w14:paraId="1692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28" w:type="dxa"/>
            <w:vAlign w:val="center"/>
          </w:tcPr>
          <w:p w14:paraId="5A5BFF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537" w:type="dxa"/>
            <w:vAlign w:val="center"/>
          </w:tcPr>
          <w:p w14:paraId="34FBCB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初级</w:t>
            </w:r>
          </w:p>
        </w:tc>
        <w:tc>
          <w:tcPr>
            <w:tcW w:w="1486" w:type="dxa"/>
            <w:vAlign w:val="center"/>
          </w:tcPr>
          <w:p w14:paraId="223FF4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中级</w:t>
            </w:r>
          </w:p>
        </w:tc>
        <w:tc>
          <w:tcPr>
            <w:tcW w:w="1352" w:type="dxa"/>
            <w:vAlign w:val="center"/>
          </w:tcPr>
          <w:p w14:paraId="6F253B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副高</w:t>
            </w:r>
          </w:p>
        </w:tc>
        <w:tc>
          <w:tcPr>
            <w:tcW w:w="1328" w:type="dxa"/>
            <w:vAlign w:val="center"/>
          </w:tcPr>
          <w:p w14:paraId="7E1D4D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正高</w:t>
            </w:r>
          </w:p>
        </w:tc>
      </w:tr>
      <w:tr w14:paraId="2845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8" w:type="dxa"/>
            <w:vAlign w:val="center"/>
          </w:tcPr>
          <w:p w14:paraId="0570FC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仿宋" w:hAnsi="仿宋" w:eastAsia="仿宋" w:cs="Calibri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超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工作量课酬标准</w:t>
            </w:r>
          </w:p>
        </w:tc>
        <w:tc>
          <w:tcPr>
            <w:tcW w:w="1537" w:type="dxa"/>
            <w:vAlign w:val="center"/>
          </w:tcPr>
          <w:p w14:paraId="77C0F6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86" w:type="dxa"/>
            <w:vAlign w:val="center"/>
          </w:tcPr>
          <w:p w14:paraId="59B798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50</w:t>
            </w:r>
          </w:p>
        </w:tc>
        <w:tc>
          <w:tcPr>
            <w:tcW w:w="1352" w:type="dxa"/>
            <w:vAlign w:val="center"/>
          </w:tcPr>
          <w:p w14:paraId="3EFE27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60</w:t>
            </w:r>
          </w:p>
        </w:tc>
        <w:tc>
          <w:tcPr>
            <w:tcW w:w="1328" w:type="dxa"/>
            <w:vAlign w:val="center"/>
          </w:tcPr>
          <w:p w14:paraId="472711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70</w:t>
            </w:r>
          </w:p>
        </w:tc>
      </w:tr>
    </w:tbl>
    <w:p w14:paraId="46CB42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超工作量课酬标准计算办法</w:t>
      </w:r>
    </w:p>
    <w:p w14:paraId="1DF844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1.教师学年教学工作量达不到定额，则按以下公式进行扣除。教学工作量未达到360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学时，扣除部分=缺少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学时数×超工作量课酬标准；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其他工作量未达到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48学时，扣除部分=缺少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学时数×超工作量课酬标准。</w:t>
      </w:r>
    </w:p>
    <w:p w14:paraId="18CAAA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2.专任教师教学工作量超过360学时，超工作量课酬=超工作量学时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数×超工作量课酬标准，按月发放。</w:t>
      </w:r>
    </w:p>
    <w:p w14:paraId="41E22F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  <w:t>第六章  兼职教师课酬计算办法</w:t>
      </w:r>
    </w:p>
    <w:p w14:paraId="1EB411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333333"/>
          <w:kern w:val="0"/>
          <w:sz w:val="32"/>
          <w:szCs w:val="32"/>
          <w:lang w:val="en-US" w:eastAsia="zh-CN"/>
        </w:rPr>
        <w:t>第十一条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 xml:space="preserve">  兼职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工作量计算办法</w:t>
      </w:r>
    </w:p>
    <w:p w14:paraId="0C12D0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1.兼职教师工作量计算办法与专任教师工作量计算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办法一致。</w:t>
      </w:r>
    </w:p>
    <w:p w14:paraId="11FAD6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2.有专业技术职务或职业资格证书的兼职教师，外聘教师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参加相关课程教改活动，课酬标准按以下办法执行。</w:t>
      </w:r>
    </w:p>
    <w:p w14:paraId="528EC6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仿宋" w:hAnsi="仿宋" w:eastAsia="仿宋" w:cs="仿宋"/>
          <w:snapToGrid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24"/>
          <w:szCs w:val="24"/>
          <w:lang w:eastAsia="zh-CN"/>
        </w:rPr>
        <w:t>表</w:t>
      </w:r>
      <w:r>
        <w:rPr>
          <w:rFonts w:hint="eastAsia" w:ascii="仿宋" w:hAnsi="仿宋" w:eastAsia="仿宋" w:cs="仿宋"/>
          <w:snapToGrid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napToGrid/>
          <w:color w:val="333333"/>
          <w:kern w:val="0"/>
          <w:sz w:val="24"/>
          <w:szCs w:val="24"/>
          <w:lang w:eastAsia="zh-CN"/>
        </w:rPr>
        <w:t xml:space="preserve">  </w:t>
      </w:r>
      <w:r>
        <w:rPr>
          <w:rFonts w:hint="eastAsia" w:ascii="仿宋" w:hAnsi="仿宋" w:eastAsia="仿宋" w:cs="仿宋"/>
          <w:snapToGrid/>
          <w:color w:val="333333"/>
          <w:kern w:val="0"/>
          <w:sz w:val="24"/>
          <w:szCs w:val="24"/>
          <w:lang w:val="en-US" w:eastAsia="zh-CN"/>
        </w:rPr>
        <w:t>有专业技术职务或职业资格证书兼职</w:t>
      </w:r>
      <w:r>
        <w:rPr>
          <w:rFonts w:hint="eastAsia" w:ascii="仿宋" w:hAnsi="仿宋" w:eastAsia="仿宋" w:cs="仿宋"/>
          <w:snapToGrid/>
          <w:color w:val="333333"/>
          <w:kern w:val="0"/>
          <w:sz w:val="24"/>
          <w:szCs w:val="24"/>
          <w:lang w:eastAsia="zh-CN"/>
        </w:rPr>
        <w:t>教师</w:t>
      </w:r>
      <w:r>
        <w:rPr>
          <w:rFonts w:hint="eastAsia" w:ascii="仿宋" w:hAnsi="仿宋" w:eastAsia="仿宋" w:cs="仿宋"/>
          <w:snapToGrid/>
          <w:color w:val="333333"/>
          <w:kern w:val="0"/>
          <w:sz w:val="24"/>
          <w:szCs w:val="24"/>
          <w:lang w:val="en-US" w:eastAsia="zh-CN"/>
        </w:rPr>
        <w:t>课酬标准（单位:元/学时）</w:t>
      </w:r>
    </w:p>
    <w:tbl>
      <w:tblPr>
        <w:tblStyle w:val="6"/>
        <w:tblW w:w="7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1154"/>
        <w:gridCol w:w="1490"/>
        <w:gridCol w:w="1441"/>
        <w:gridCol w:w="1311"/>
      </w:tblGrid>
      <w:tr w14:paraId="6265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470" w:type="dxa"/>
            <w:vAlign w:val="center"/>
          </w:tcPr>
          <w:p w14:paraId="4DADEB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职称</w:t>
            </w:r>
          </w:p>
        </w:tc>
        <w:tc>
          <w:tcPr>
            <w:tcW w:w="1154" w:type="dxa"/>
            <w:vAlign w:val="center"/>
          </w:tcPr>
          <w:p w14:paraId="2AD4C7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初级</w:t>
            </w:r>
          </w:p>
        </w:tc>
        <w:tc>
          <w:tcPr>
            <w:tcW w:w="1490" w:type="dxa"/>
            <w:vAlign w:val="center"/>
          </w:tcPr>
          <w:p w14:paraId="5DA29C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中级</w:t>
            </w:r>
          </w:p>
        </w:tc>
        <w:tc>
          <w:tcPr>
            <w:tcW w:w="1441" w:type="dxa"/>
            <w:vAlign w:val="center"/>
          </w:tcPr>
          <w:p w14:paraId="283FD6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副高</w:t>
            </w:r>
          </w:p>
        </w:tc>
        <w:tc>
          <w:tcPr>
            <w:tcW w:w="1311" w:type="dxa"/>
            <w:vAlign w:val="center"/>
          </w:tcPr>
          <w:p w14:paraId="5B3597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正高</w:t>
            </w:r>
          </w:p>
        </w:tc>
      </w:tr>
      <w:tr w14:paraId="5D2D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470" w:type="dxa"/>
            <w:vAlign w:val="center"/>
          </w:tcPr>
          <w:p w14:paraId="4828AE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/>
                <w:color w:val="333333"/>
                <w:kern w:val="0"/>
                <w:sz w:val="28"/>
                <w:szCs w:val="28"/>
                <w:lang w:val="en-US" w:eastAsia="zh-CN"/>
              </w:rPr>
              <w:t>课酬标准</w:t>
            </w:r>
          </w:p>
        </w:tc>
        <w:tc>
          <w:tcPr>
            <w:tcW w:w="1154" w:type="dxa"/>
            <w:vAlign w:val="center"/>
          </w:tcPr>
          <w:p w14:paraId="2CC5B3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490" w:type="dxa"/>
            <w:vAlign w:val="center"/>
          </w:tcPr>
          <w:p w14:paraId="76C6EC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441" w:type="dxa"/>
            <w:vAlign w:val="center"/>
          </w:tcPr>
          <w:p w14:paraId="36A5CE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311" w:type="dxa"/>
            <w:vAlign w:val="center"/>
          </w:tcPr>
          <w:p w14:paraId="6CFFBD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180</w:t>
            </w:r>
          </w:p>
        </w:tc>
      </w:tr>
    </w:tbl>
    <w:tbl>
      <w:tblPr>
        <w:tblStyle w:val="7"/>
        <w:tblpPr w:leftFromText="180" w:rightFromText="180" w:vertAnchor="page" w:horzAnchor="page" w:tblpXSpec="center" w:tblpY="8429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4303"/>
        <w:gridCol w:w="2188"/>
      </w:tblGrid>
      <w:tr w14:paraId="27B6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16" w:type="pct"/>
            <w:vAlign w:val="center"/>
          </w:tcPr>
          <w:p w14:paraId="1EB8BFD4">
            <w:pPr>
              <w:widowControl w:val="0"/>
              <w:numPr>
                <w:ilvl w:val="1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网龙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职级</w:t>
            </w:r>
          </w:p>
        </w:tc>
        <w:tc>
          <w:tcPr>
            <w:tcW w:w="2375" w:type="pct"/>
            <w:vAlign w:val="center"/>
          </w:tcPr>
          <w:p w14:paraId="1580EACA">
            <w:pPr>
              <w:widowControl w:val="0"/>
              <w:numPr>
                <w:ilvl w:val="1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企业工作经历和企业职务</w:t>
            </w:r>
          </w:p>
        </w:tc>
        <w:tc>
          <w:tcPr>
            <w:tcW w:w="1208" w:type="pct"/>
            <w:vAlign w:val="center"/>
          </w:tcPr>
          <w:p w14:paraId="1B74DC76">
            <w:pPr>
              <w:widowControl w:val="0"/>
              <w:numPr>
                <w:ilvl w:val="1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课酬标准</w:t>
            </w:r>
          </w:p>
        </w:tc>
      </w:tr>
      <w:tr w14:paraId="5B10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pct"/>
            <w:vAlign w:val="center"/>
          </w:tcPr>
          <w:p w14:paraId="14D18277">
            <w:pPr>
              <w:widowControl w:val="0"/>
              <w:numPr>
                <w:ilvl w:val="1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P3-P4，M3-M4</w:t>
            </w:r>
          </w:p>
        </w:tc>
        <w:tc>
          <w:tcPr>
            <w:tcW w:w="2375" w:type="pct"/>
          </w:tcPr>
          <w:p w14:paraId="4952DBC5">
            <w:pPr>
              <w:widowControl w:val="0"/>
              <w:numPr>
                <w:ilvl w:val="1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在读研究生；具有三年以上工作经验或项目主管。</w:t>
            </w:r>
          </w:p>
        </w:tc>
        <w:tc>
          <w:tcPr>
            <w:tcW w:w="1208" w:type="pct"/>
            <w:vAlign w:val="center"/>
          </w:tcPr>
          <w:p w14:paraId="0DCE7916">
            <w:pPr>
              <w:widowControl w:val="0"/>
              <w:numPr>
                <w:ilvl w:val="1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0元/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时</w:t>
            </w:r>
          </w:p>
        </w:tc>
      </w:tr>
      <w:tr w14:paraId="1F041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pct"/>
            <w:vAlign w:val="center"/>
          </w:tcPr>
          <w:p w14:paraId="035BB023">
            <w:pPr>
              <w:widowControl w:val="0"/>
              <w:numPr>
                <w:ilvl w:val="1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P5-P6，M5-M6</w:t>
            </w:r>
          </w:p>
        </w:tc>
        <w:tc>
          <w:tcPr>
            <w:tcW w:w="2375" w:type="pct"/>
          </w:tcPr>
          <w:p w14:paraId="5F63C99A">
            <w:pPr>
              <w:widowControl w:val="0"/>
              <w:numPr>
                <w:ilvl w:val="1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研究生毕业，具有三年以上项目工作经验；具有六年以上项目经验或部门经理。</w:t>
            </w:r>
          </w:p>
        </w:tc>
        <w:tc>
          <w:tcPr>
            <w:tcW w:w="1208" w:type="pct"/>
            <w:vAlign w:val="center"/>
          </w:tcPr>
          <w:p w14:paraId="1E102FE6">
            <w:pPr>
              <w:widowControl w:val="0"/>
              <w:numPr>
                <w:ilvl w:val="1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0元/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时</w:t>
            </w:r>
          </w:p>
        </w:tc>
      </w:tr>
      <w:tr w14:paraId="7413E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pct"/>
            <w:vAlign w:val="center"/>
          </w:tcPr>
          <w:p w14:paraId="43A39D74">
            <w:pPr>
              <w:widowControl w:val="0"/>
              <w:numPr>
                <w:ilvl w:val="1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P7-P8，M7-M8</w:t>
            </w:r>
          </w:p>
        </w:tc>
        <w:tc>
          <w:tcPr>
            <w:tcW w:w="2375" w:type="pct"/>
          </w:tcPr>
          <w:p w14:paraId="19D9351A">
            <w:pPr>
              <w:widowControl w:val="0"/>
              <w:numPr>
                <w:ilvl w:val="1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博士毕业；具有八年以上项目经验或企业高管、技术总监；市级高技能人才、技术能手、工艺美术大师等。</w:t>
            </w:r>
          </w:p>
        </w:tc>
        <w:tc>
          <w:tcPr>
            <w:tcW w:w="1208" w:type="pct"/>
            <w:vAlign w:val="center"/>
          </w:tcPr>
          <w:p w14:paraId="7A0F8A47">
            <w:pPr>
              <w:widowControl w:val="0"/>
              <w:numPr>
                <w:ilvl w:val="1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0元/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时</w:t>
            </w:r>
          </w:p>
        </w:tc>
      </w:tr>
      <w:tr w14:paraId="687E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pct"/>
            <w:vAlign w:val="center"/>
          </w:tcPr>
          <w:p w14:paraId="2F746378">
            <w:pPr>
              <w:widowControl w:val="0"/>
              <w:numPr>
                <w:ilvl w:val="1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P9，M9以上</w:t>
            </w:r>
          </w:p>
        </w:tc>
        <w:tc>
          <w:tcPr>
            <w:tcW w:w="2375" w:type="pct"/>
          </w:tcPr>
          <w:p w14:paraId="42E7BD16">
            <w:pPr>
              <w:widowControl w:val="0"/>
              <w:numPr>
                <w:ilvl w:val="1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具有十年以上项目经验或企业高管、技术总监，且带有真实项目进校园实战教学，产出成果；省级以上高技能人才、技术能手、工艺美术大师等。</w:t>
            </w:r>
          </w:p>
        </w:tc>
        <w:tc>
          <w:tcPr>
            <w:tcW w:w="1208" w:type="pct"/>
            <w:vAlign w:val="center"/>
          </w:tcPr>
          <w:p w14:paraId="449BC341">
            <w:pPr>
              <w:widowControl w:val="0"/>
              <w:numPr>
                <w:ilvl w:val="1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0元/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时</w:t>
            </w:r>
          </w:p>
        </w:tc>
      </w:tr>
    </w:tbl>
    <w:p w14:paraId="016812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无专业技术职务或职业资格证书的兼职教师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采取“职级职称互认”或工作经历和企业职务划分。按企业工作经历和企业职务认定需事先报教务处审批。</w:t>
      </w:r>
    </w:p>
    <w:p w14:paraId="75749D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24"/>
          <w:szCs w:val="24"/>
          <w:lang w:val="en-US" w:eastAsia="zh-CN"/>
        </w:rPr>
        <w:t>表3   无专业技术职务或职业资格证书兼职</w:t>
      </w:r>
      <w:r>
        <w:rPr>
          <w:rFonts w:hint="eastAsia" w:ascii="仿宋" w:hAnsi="仿宋" w:eastAsia="仿宋" w:cs="仿宋"/>
          <w:snapToGrid/>
          <w:color w:val="333333"/>
          <w:kern w:val="0"/>
          <w:sz w:val="24"/>
          <w:szCs w:val="24"/>
          <w:lang w:eastAsia="zh-CN"/>
        </w:rPr>
        <w:t>教师</w:t>
      </w:r>
      <w:r>
        <w:rPr>
          <w:rFonts w:hint="eastAsia" w:ascii="仿宋" w:hAnsi="仿宋" w:eastAsia="仿宋" w:cs="仿宋"/>
          <w:snapToGrid/>
          <w:color w:val="333333"/>
          <w:kern w:val="0"/>
          <w:sz w:val="24"/>
          <w:szCs w:val="24"/>
          <w:lang w:val="en-US" w:eastAsia="zh-CN"/>
        </w:rPr>
        <w:t>课酬标准（单位:元/学时）</w:t>
      </w:r>
    </w:p>
    <w:p w14:paraId="69631E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en-US"/>
        </w:rPr>
        <w:t>第</w:t>
      </w:r>
      <w:r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en-US"/>
        </w:rPr>
        <w:t>章</w:t>
      </w:r>
      <w:r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  <w:t xml:space="preserve">  行政兼课课酬计算办法</w:t>
      </w:r>
    </w:p>
    <w:p w14:paraId="6A5F07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3" w:firstLineChars="200"/>
        <w:jc w:val="both"/>
        <w:textAlignment w:val="auto"/>
        <w:rPr>
          <w:rFonts w:hint="default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333333"/>
          <w:kern w:val="0"/>
          <w:sz w:val="32"/>
          <w:szCs w:val="32"/>
          <w:lang w:val="en-US" w:eastAsia="zh-CN"/>
        </w:rPr>
        <w:t>第十二条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 xml:space="preserve">  行政兼课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课酬计算办法</w:t>
      </w:r>
    </w:p>
    <w:p w14:paraId="12DDF2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行政兼课的工作量计算办法与专任教师工作量计算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办法一致，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行政兼课应参加教学单位相关教改活动。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课酬标准参照专任教师超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工作量课酬标准计算，周学时不超4节，带毕业实习不超过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10人。</w:t>
      </w:r>
    </w:p>
    <w:p w14:paraId="39AF9A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kern w:val="2"/>
          <w:sz w:val="32"/>
          <w:szCs w:val="32"/>
          <w:lang w:val="en-US" w:eastAsia="zh-CN"/>
        </w:rPr>
        <w:t>第八章  附  则</w:t>
      </w:r>
    </w:p>
    <w:p w14:paraId="14C349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333333"/>
          <w:kern w:val="0"/>
          <w:sz w:val="32"/>
          <w:szCs w:val="32"/>
          <w:lang w:val="en-US" w:eastAsia="zh-CN"/>
        </w:rPr>
        <w:t>第十三条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 xml:space="preserve">  本办法自2025年1月1日起实施，原《福州软件职业技术学院教学工作量计算办法（修订）》（福软教〔2024〕27号）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>同时废止。其他文件与本办法不一致的，以本办法为准。</w:t>
      </w:r>
    </w:p>
    <w:p w14:paraId="482DB8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 w:firstLine="643" w:firstLineChars="200"/>
        <w:jc w:val="both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333333"/>
          <w:kern w:val="0"/>
          <w:sz w:val="32"/>
          <w:szCs w:val="32"/>
          <w:lang w:val="en-US" w:eastAsia="zh-CN"/>
        </w:rPr>
        <w:t>第十四条</w:t>
      </w:r>
      <w:r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val="en-US" w:eastAsia="zh-CN"/>
        </w:rPr>
        <w:t xml:space="preserve">  本办法由教务处、人力资源部负责解释。</w:t>
      </w:r>
    </w:p>
    <w:tbl>
      <w:tblPr>
        <w:tblStyle w:val="6"/>
        <w:tblpPr w:leftFromText="180" w:rightFromText="180" w:vertAnchor="page" w:horzAnchor="page" w:tblpX="1535" w:tblpY="14708"/>
        <w:tblOverlap w:val="never"/>
        <w:tblW w:w="903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14"/>
        <w:gridCol w:w="4216"/>
      </w:tblGrid>
      <w:tr w14:paraId="5F641DE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4814" w:type="dxa"/>
            <w:tcBorders>
              <w:tl2br w:val="nil"/>
              <w:tr2bl w:val="nil"/>
            </w:tcBorders>
            <w:noWrap w:val="0"/>
            <w:vAlign w:val="bottom"/>
          </w:tcPr>
          <w:p w14:paraId="37834D71">
            <w:pPr>
              <w:spacing w:after="100" w:line="590" w:lineRule="exact"/>
              <w:ind w:right="136" w:rightChars="65" w:firstLine="300" w:firstLineChars="100"/>
              <w:rPr>
                <w:rFonts w:hint="eastAsia" w:ascii="仿宋_GB2312" w:hAnsi="仿宋" w:eastAsia="仿宋_GB2312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福州软件职业技术学院教务处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noWrap w:val="0"/>
            <w:vAlign w:val="center"/>
          </w:tcPr>
          <w:p w14:paraId="4DB014ED">
            <w:pPr>
              <w:spacing w:after="100" w:afterAutospacing="1" w:line="590" w:lineRule="exact"/>
              <w:ind w:right="136" w:rightChars="65" w:firstLine="900" w:firstLineChars="300"/>
              <w:jc w:val="center"/>
              <w:textAlignment w:val="bottom"/>
              <w:rPr>
                <w:rFonts w:hint="eastAsia" w:ascii="仿宋_GB2312" w:eastAsia="仿宋_GB2312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auto"/>
                <w:sz w:val="30"/>
                <w:szCs w:val="30"/>
                <w:highlight w:val="none"/>
              </w:rPr>
              <w:t>20</w:t>
            </w:r>
            <w:r>
              <w:rPr>
                <w:rFonts w:hint="eastAsia" w:ascii="仿宋_GB2312" w:hAnsi="仿宋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color w:val="auto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hAnsi="仿宋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auto"/>
                <w:sz w:val="30"/>
                <w:szCs w:val="30"/>
                <w:highlight w:val="none"/>
              </w:rPr>
              <w:t>印</w:t>
            </w:r>
          </w:p>
        </w:tc>
      </w:tr>
    </w:tbl>
    <w:p w14:paraId="5F5FA0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napToGrid/>
          <w:color w:val="333333"/>
          <w:kern w:val="0"/>
          <w:sz w:val="32"/>
          <w:szCs w:val="32"/>
          <w:lang w:eastAsia="zh-CN"/>
        </w:rPr>
      </w:pPr>
    </w:p>
    <w:sectPr>
      <w:pgSz w:w="11906" w:h="16839"/>
      <w:pgMar w:top="1417" w:right="1531" w:bottom="1417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560CC9B-E1C2-4914-80BE-6477F162814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8881BB-F5E7-4EF3-8D09-555AB6BD75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BC3FF72-D847-4D4B-A7D2-402A843CDF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EFAD956-5C4C-42E4-A820-B2D09590BA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98BF59E-F4B3-4B7D-945E-D5AC05F0242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88D40508-4B67-47D3-9310-87F119DB20F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0131E5"/>
    <w:multiLevelType w:val="multilevel"/>
    <w:tmpl w:val="700131E5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U3ZTNmYzcxOTgxY2QzODJmMGU2NGNiNTFmMmE5ODMifQ=="/>
  </w:docVars>
  <w:rsids>
    <w:rsidRoot w:val="00000000"/>
    <w:rsid w:val="0149147D"/>
    <w:rsid w:val="020F7B7E"/>
    <w:rsid w:val="03457CFC"/>
    <w:rsid w:val="0532113D"/>
    <w:rsid w:val="058A34CB"/>
    <w:rsid w:val="05AA5A19"/>
    <w:rsid w:val="06B548A9"/>
    <w:rsid w:val="09232AE5"/>
    <w:rsid w:val="0BAE21B6"/>
    <w:rsid w:val="0D9B1C5B"/>
    <w:rsid w:val="10A65B52"/>
    <w:rsid w:val="15D373E9"/>
    <w:rsid w:val="16827778"/>
    <w:rsid w:val="173B6FF4"/>
    <w:rsid w:val="1A09162B"/>
    <w:rsid w:val="1A412BC2"/>
    <w:rsid w:val="1E254230"/>
    <w:rsid w:val="1E3374B4"/>
    <w:rsid w:val="1F0A3ECA"/>
    <w:rsid w:val="1F59095F"/>
    <w:rsid w:val="218B53BC"/>
    <w:rsid w:val="233D5EA2"/>
    <w:rsid w:val="24616C60"/>
    <w:rsid w:val="24C22B02"/>
    <w:rsid w:val="257007B0"/>
    <w:rsid w:val="28311443"/>
    <w:rsid w:val="285C326E"/>
    <w:rsid w:val="2C414C55"/>
    <w:rsid w:val="2E06485B"/>
    <w:rsid w:val="2E0B201C"/>
    <w:rsid w:val="2EFD4F49"/>
    <w:rsid w:val="301A21F5"/>
    <w:rsid w:val="30A21E61"/>
    <w:rsid w:val="34C75F13"/>
    <w:rsid w:val="36032155"/>
    <w:rsid w:val="37474F4C"/>
    <w:rsid w:val="3A0177D1"/>
    <w:rsid w:val="3B295232"/>
    <w:rsid w:val="3B473AC9"/>
    <w:rsid w:val="3C4476D6"/>
    <w:rsid w:val="3C8C1F1C"/>
    <w:rsid w:val="3D2860FD"/>
    <w:rsid w:val="3E8A59C1"/>
    <w:rsid w:val="3EC46D30"/>
    <w:rsid w:val="410F6C78"/>
    <w:rsid w:val="44B813D4"/>
    <w:rsid w:val="469B15DD"/>
    <w:rsid w:val="46D66391"/>
    <w:rsid w:val="4E09697B"/>
    <w:rsid w:val="4EAF55F6"/>
    <w:rsid w:val="4F392906"/>
    <w:rsid w:val="502C2772"/>
    <w:rsid w:val="50563F3B"/>
    <w:rsid w:val="50A54F03"/>
    <w:rsid w:val="528C228E"/>
    <w:rsid w:val="532F31A9"/>
    <w:rsid w:val="536F7A4A"/>
    <w:rsid w:val="541A2579"/>
    <w:rsid w:val="556D0953"/>
    <w:rsid w:val="58C12AF6"/>
    <w:rsid w:val="5A81253D"/>
    <w:rsid w:val="5AF33D2F"/>
    <w:rsid w:val="5D8457AF"/>
    <w:rsid w:val="5DB036C4"/>
    <w:rsid w:val="5E7602CC"/>
    <w:rsid w:val="645962D8"/>
    <w:rsid w:val="64C2705A"/>
    <w:rsid w:val="656C3DE9"/>
    <w:rsid w:val="65C459D3"/>
    <w:rsid w:val="65DD6A95"/>
    <w:rsid w:val="678A29BE"/>
    <w:rsid w:val="67E877FA"/>
    <w:rsid w:val="6CB835CA"/>
    <w:rsid w:val="6D301BA0"/>
    <w:rsid w:val="6D9A6093"/>
    <w:rsid w:val="6F5E4857"/>
    <w:rsid w:val="6FAA7DC7"/>
    <w:rsid w:val="6FEE1FCA"/>
    <w:rsid w:val="6FF13869"/>
    <w:rsid w:val="72564634"/>
    <w:rsid w:val="767D5E56"/>
    <w:rsid w:val="77A92C7B"/>
    <w:rsid w:val="77ED0DBA"/>
    <w:rsid w:val="79863274"/>
    <w:rsid w:val="79FF3026"/>
    <w:rsid w:val="7AEE1E19"/>
    <w:rsid w:val="7CF762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color w:val="000000"/>
      <w:kern w:val="0"/>
      <w:sz w:val="24"/>
    </w:rPr>
  </w:style>
  <w:style w:type="paragraph" w:styleId="5">
    <w:name w:val="Body Text First Indent"/>
    <w:basedOn w:val="3"/>
    <w:next w:val="4"/>
    <w:autoRedefine/>
    <w:semiHidden/>
    <w:unhideWhenUsed/>
    <w:qFormat/>
    <w:uiPriority w:val="99"/>
    <w:pPr>
      <w:ind w:firstLine="420" w:firstLineChars="100"/>
    </w:pPr>
    <w:rPr>
      <w:rFonts w:hAnsi="宋体"/>
    </w:rPr>
  </w:style>
  <w:style w:type="table" w:styleId="7">
    <w:name w:val="Table Grid"/>
    <w:basedOn w:val="6"/>
    <w:qFormat/>
    <w:uiPriority w:val="0"/>
    <w:pPr>
      <w:widowControl w:val="0"/>
      <w:numPr>
        <w:ilvl w:val="1"/>
        <w:numId w:val="1"/>
      </w:numPr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3333"/>
    <w:basedOn w:val="1"/>
    <w:link w:val="11"/>
    <w:autoRedefine/>
    <w:qFormat/>
    <w:uiPriority w:val="99"/>
    <w:pPr>
      <w:ind w:firstLine="482" w:firstLineChars="200"/>
    </w:pPr>
    <w:rPr>
      <w:rFonts w:ascii="仿宋_GB2312" w:hAnsi="Times New Roman" w:eastAsia="仿宋_GB2312" w:cs="仿宋_GB2312"/>
      <w:kern w:val="2"/>
      <w:sz w:val="24"/>
      <w:szCs w:val="24"/>
    </w:rPr>
  </w:style>
  <w:style w:type="character" w:customStyle="1" w:styleId="11">
    <w:name w:val="3333 Char"/>
    <w:link w:val="10"/>
    <w:autoRedefine/>
    <w:qFormat/>
    <w:locked/>
    <w:uiPriority w:val="99"/>
    <w:rPr>
      <w:rFonts w:ascii="仿宋_GB2312" w:hAnsi="Times New Roman" w:eastAsia="仿宋_GB2312" w:cs="仿宋_GB2312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2602</Words>
  <Characters>2737</Characters>
  <TotalTime>23</TotalTime>
  <ScaleCrop>false</ScaleCrop>
  <LinksUpToDate>false</LinksUpToDate>
  <CharactersWithSpaces>2798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2023-08-07T12:19:00Z</dcterms:created>
  <dc:creator>MolySu</dc:creator>
  <cp:lastModifiedBy>HELIOS</cp:lastModifiedBy>
  <cp:lastPrinted>2025-01-02T01:53:05Z</cp:lastPrinted>
  <dcterms:modified xsi:type="dcterms:W3CDTF">2025-01-02T01:58:25Z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2024-05-06T14:13:07Z</vt:filetime>
  </property>
  <property fmtid="{D5CDD505-2E9C-101B-9397-08002B2CF9AE}" pid="4" name="KSOProductBuildVer">
    <vt:lpwstr>2052-12.1.0.19770</vt:lpwstr>
  </property>
  <property fmtid="{D5CDD505-2E9C-101B-9397-08002B2CF9AE}" pid="5" name="ICV">
    <vt:lpwstr>B704B87DF38745DD8605FC4A4F1C232D_13</vt:lpwstr>
  </property>
  <property fmtid="{D5CDD505-2E9C-101B-9397-08002B2CF9AE}" pid="6" name="KSOTemplateDocerSaveRecord">
    <vt:lpwstr>eyJoZGlkIjoiNmU3ZTNmYzcxOTgxY2QzODJmMGU2NGNiNTFmMmE5ODMiLCJ1c2VySWQiOiI0NDk2NzE1MTEifQ==</vt:lpwstr>
  </property>
</Properties>
</file>