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E17C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ascii="Microsoft YaHei UI" w:hAnsi="Microsoft YaHei UI" w:eastAsia="Microsoft YaHei UI" w:cs="Microsoft YaHei UI"/>
          <w:i w:val="0"/>
          <w:iCs w:val="0"/>
          <w:caps w:val="0"/>
          <w:spacing w:val="8"/>
          <w:sz w:val="33"/>
          <w:szCs w:val="33"/>
        </w:rPr>
      </w:pPr>
      <w:r>
        <w:rPr>
          <w:rFonts w:hint="eastAsia" w:ascii="宋体" w:hAnsi="宋体" w:eastAsia="宋体" w:cs="宋体"/>
          <w:i w:val="0"/>
          <w:iCs w:val="0"/>
          <w:caps w:val="0"/>
          <w:spacing w:val="8"/>
          <w:sz w:val="36"/>
          <w:szCs w:val="36"/>
          <w:shd w:val="clear" w:fill="FFFFFF"/>
        </w:rPr>
        <w:t>高职院校办学能力评价实施方案（2025-2030）</w:t>
      </w:r>
      <w:r>
        <w:rPr>
          <w:rFonts w:hint="eastAsia" w:ascii="Microsoft YaHei UI" w:hAnsi="Microsoft YaHei UI" w:eastAsia="Microsoft YaHei UI" w:cs="Microsoft YaHei UI"/>
          <w:i w:val="0"/>
          <w:iCs w:val="0"/>
          <w:caps w:val="0"/>
          <w:spacing w:val="8"/>
          <w:kern w:val="0"/>
          <w:sz w:val="24"/>
          <w:szCs w:val="24"/>
          <w:lang w:val="en-US" w:eastAsia="zh-CN" w:bidi="ar"/>
        </w:rPr>
        <w:drawing>
          <wp:inline distT="0" distB="0" distL="114300" distR="114300">
            <wp:extent cx="5657215" cy="7999730"/>
            <wp:effectExtent l="0" t="0" r="635" b="1270"/>
            <wp:docPr id="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IMG_257"/>
                    <pic:cNvPicPr>
                      <a:picLocks noChangeAspect="1"/>
                    </pic:cNvPicPr>
                  </pic:nvPicPr>
                  <pic:blipFill>
                    <a:blip r:embed="rId4"/>
                    <a:stretch>
                      <a:fillRect/>
                    </a:stretch>
                  </pic:blipFill>
                  <pic:spPr>
                    <a:xfrm>
                      <a:off x="0" y="0"/>
                      <a:ext cx="5657215" cy="7999730"/>
                    </a:xfrm>
                    <a:prstGeom prst="rect">
                      <a:avLst/>
                    </a:prstGeom>
                    <a:noFill/>
                    <a:ln w="9525">
                      <a:noFill/>
                    </a:ln>
                  </pic:spPr>
                </pic:pic>
              </a:graphicData>
            </a:graphic>
          </wp:inline>
        </w:drawing>
      </w:r>
    </w:p>
    <w:p w14:paraId="4AFCE3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kern w:val="0"/>
          <w:sz w:val="24"/>
          <w:szCs w:val="24"/>
          <w:lang w:val="en-US" w:eastAsia="zh-CN" w:bidi="ar"/>
        </w:rPr>
        <w:drawing>
          <wp:inline distT="0" distB="0" distL="114300" distR="114300">
            <wp:extent cx="6014720" cy="8503920"/>
            <wp:effectExtent l="0" t="0" r="5080" b="11430"/>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5"/>
                    <a:stretch>
                      <a:fillRect/>
                    </a:stretch>
                  </pic:blipFill>
                  <pic:spPr>
                    <a:xfrm>
                      <a:off x="0" y="0"/>
                      <a:ext cx="6014720" cy="8503920"/>
                    </a:xfrm>
                    <a:prstGeom prst="rect">
                      <a:avLst/>
                    </a:prstGeom>
                    <a:noFill/>
                    <a:ln w="9525">
                      <a:noFill/>
                    </a:ln>
                  </pic:spPr>
                </pic:pic>
              </a:graphicData>
            </a:graphic>
          </wp:inline>
        </w:drawing>
      </w:r>
      <w:r>
        <w:rPr>
          <w:rFonts w:hint="eastAsia" w:ascii="Microsoft YaHei UI" w:hAnsi="Microsoft YaHei UI" w:eastAsia="Microsoft YaHei UI" w:cs="Microsoft YaHei UI"/>
          <w:i w:val="0"/>
          <w:iCs w:val="0"/>
          <w:caps w:val="0"/>
          <w:spacing w:val="8"/>
          <w:kern w:val="0"/>
          <w:sz w:val="24"/>
          <w:szCs w:val="24"/>
          <w:lang w:val="en-US" w:eastAsia="zh-CN" w:bidi="ar"/>
        </w:rPr>
        <w:drawing>
          <wp:inline distT="0" distB="0" distL="114300" distR="114300">
            <wp:extent cx="5846445" cy="8266430"/>
            <wp:effectExtent l="0" t="0" r="1905" b="1270"/>
            <wp:docPr id="9"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IMG_259"/>
                    <pic:cNvPicPr>
                      <a:picLocks noChangeAspect="1"/>
                    </pic:cNvPicPr>
                  </pic:nvPicPr>
                  <pic:blipFill>
                    <a:blip r:embed="rId6"/>
                    <a:stretch>
                      <a:fillRect/>
                    </a:stretch>
                  </pic:blipFill>
                  <pic:spPr>
                    <a:xfrm>
                      <a:off x="0" y="0"/>
                      <a:ext cx="5846445" cy="8266430"/>
                    </a:xfrm>
                    <a:prstGeom prst="rect">
                      <a:avLst/>
                    </a:prstGeom>
                    <a:noFill/>
                    <a:ln w="9525">
                      <a:noFill/>
                    </a:ln>
                  </pic:spPr>
                </pic:pic>
              </a:graphicData>
            </a:graphic>
          </wp:inline>
        </w:drawing>
      </w:r>
      <w:r>
        <w:rPr>
          <w:rFonts w:hint="eastAsia" w:ascii="Microsoft YaHei UI" w:hAnsi="Microsoft YaHei UI" w:eastAsia="Microsoft YaHei UI" w:cs="Microsoft YaHei UI"/>
          <w:i w:val="0"/>
          <w:iCs w:val="0"/>
          <w:caps w:val="0"/>
          <w:spacing w:val="8"/>
          <w:kern w:val="0"/>
          <w:sz w:val="24"/>
          <w:szCs w:val="24"/>
          <w:lang w:val="en-US" w:eastAsia="zh-CN" w:bidi="ar"/>
        </w:rPr>
        <w:drawing>
          <wp:inline distT="0" distB="0" distL="114300" distR="114300">
            <wp:extent cx="304800" cy="304800"/>
            <wp:effectExtent l="0" t="0" r="0" b="0"/>
            <wp:docPr id="7"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IMG_260"/>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r>
        <w:rPr>
          <w:rFonts w:hint="eastAsia" w:ascii="Microsoft YaHei UI" w:hAnsi="Microsoft YaHei UI" w:eastAsia="Microsoft YaHei UI" w:cs="Microsoft YaHei UI"/>
          <w:i w:val="0"/>
          <w:iCs w:val="0"/>
          <w:caps w:val="0"/>
          <w:spacing w:val="8"/>
          <w:kern w:val="0"/>
          <w:sz w:val="24"/>
          <w:szCs w:val="24"/>
          <w:lang w:val="en-US" w:eastAsia="zh-CN" w:bidi="ar"/>
        </w:rPr>
        <w:drawing>
          <wp:inline distT="0" distB="0" distL="114300" distR="114300">
            <wp:extent cx="304800" cy="304800"/>
            <wp:effectExtent l="0" t="0" r="0" b="0"/>
            <wp:docPr id="8"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IMG_261"/>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r>
        <w:rPr>
          <w:rFonts w:hint="eastAsia" w:ascii="Microsoft YaHei UI" w:hAnsi="Microsoft YaHei UI" w:eastAsia="Microsoft YaHei UI" w:cs="Microsoft YaHei UI"/>
          <w:i w:val="0"/>
          <w:iCs w:val="0"/>
          <w:caps w:val="0"/>
          <w:spacing w:val="8"/>
          <w:kern w:val="0"/>
          <w:sz w:val="24"/>
          <w:szCs w:val="24"/>
          <w:lang w:val="en-US" w:eastAsia="zh-CN" w:bidi="ar"/>
        </w:rPr>
        <w:drawing>
          <wp:inline distT="0" distB="0" distL="114300" distR="114300">
            <wp:extent cx="304800" cy="304800"/>
            <wp:effectExtent l="0" t="0" r="0" b="0"/>
            <wp:docPr id="12"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descr="IMG_262"/>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r>
        <w:rPr>
          <w:rFonts w:hint="eastAsia" w:ascii="Microsoft YaHei UI" w:hAnsi="Microsoft YaHei UI" w:eastAsia="Microsoft YaHei UI" w:cs="Microsoft YaHei UI"/>
          <w:i w:val="0"/>
          <w:iCs w:val="0"/>
          <w:caps w:val="0"/>
          <w:spacing w:val="8"/>
          <w:kern w:val="0"/>
          <w:sz w:val="24"/>
          <w:szCs w:val="24"/>
          <w:lang w:val="en-US" w:eastAsia="zh-CN" w:bidi="ar"/>
        </w:rPr>
        <w:drawing>
          <wp:inline distT="0" distB="0" distL="114300" distR="114300">
            <wp:extent cx="304800" cy="304800"/>
            <wp:effectExtent l="0" t="0" r="0" b="0"/>
            <wp:docPr id="10"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descr="IMG_263"/>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p>
    <w:p w14:paraId="6DED97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ascii="黑体" w:hAnsi="宋体" w:eastAsia="黑体" w:cs="黑体"/>
          <w:i w:val="0"/>
          <w:iCs w:val="0"/>
          <w:caps w:val="0"/>
          <w:color w:val="000000"/>
          <w:spacing w:val="8"/>
          <w:sz w:val="32"/>
          <w:szCs w:val="32"/>
        </w:rPr>
        <w:t>附件</w:t>
      </w:r>
    </w:p>
    <w:p w14:paraId="64A119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center"/>
      </w:pPr>
      <w:r>
        <w:rPr>
          <w:rFonts w:hint="eastAsia" w:ascii="Microsoft YaHei UI" w:hAnsi="Microsoft YaHei UI" w:eastAsia="Microsoft YaHei UI" w:cs="Microsoft YaHei UI"/>
          <w:b/>
          <w:bCs/>
          <w:i w:val="0"/>
          <w:iCs w:val="0"/>
          <w:caps w:val="0"/>
          <w:spacing w:val="8"/>
          <w:sz w:val="27"/>
          <w:szCs w:val="27"/>
        </w:rPr>
        <w:t>高等职业学校教育教学关键要素评估国家基本框架</w:t>
      </w:r>
    </w:p>
    <w:tbl>
      <w:tblPr>
        <w:tblStyle w:val="4"/>
        <w:tblpPr w:vertAnchor="text" w:tblpXSpec="center"/>
        <w:tblW w:w="101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79"/>
        <w:gridCol w:w="1020"/>
        <w:gridCol w:w="8657"/>
      </w:tblGrid>
      <w:tr w14:paraId="275F4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blHeader/>
          <w:jc w:val="center"/>
        </w:trPr>
        <w:tc>
          <w:tcPr>
            <w:tcW w:w="47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9ED6A0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0" w:lineRule="atLeast"/>
              <w:ind w:left="0" w:right="0"/>
              <w:jc w:val="center"/>
            </w:pPr>
            <w:r>
              <w:rPr>
                <w:rFonts w:ascii="仿宋_GB2312" w:eastAsia="仿宋_GB2312" w:cs="仿宋_GB2312"/>
                <w:b/>
                <w:bCs/>
                <w:color w:val="000000"/>
              </w:rPr>
              <w:t>一级要素</w:t>
            </w:r>
          </w:p>
        </w:tc>
        <w:tc>
          <w:tcPr>
            <w:tcW w:w="102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7BFAC3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0" w:lineRule="atLeast"/>
              <w:ind w:left="0" w:right="0"/>
              <w:jc w:val="center"/>
            </w:pPr>
            <w:r>
              <w:rPr>
                <w:rFonts w:hint="default" w:ascii="仿宋_GB2312" w:eastAsia="仿宋_GB2312" w:cs="仿宋_GB2312"/>
                <w:b/>
                <w:bCs/>
                <w:color w:val="000000"/>
              </w:rPr>
              <w:t>二级要素</w:t>
            </w:r>
          </w:p>
        </w:tc>
        <w:tc>
          <w:tcPr>
            <w:tcW w:w="865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F90496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0" w:lineRule="atLeast"/>
              <w:ind w:left="0" w:right="0"/>
              <w:jc w:val="center"/>
            </w:pPr>
            <w:r>
              <w:rPr>
                <w:rFonts w:hint="default" w:ascii="仿宋_GB2312" w:eastAsia="仿宋_GB2312" w:cs="仿宋_GB2312"/>
                <w:b/>
                <w:bCs/>
                <w:color w:val="000000"/>
              </w:rPr>
              <w:t>要素内涵及观测点</w:t>
            </w:r>
          </w:p>
        </w:tc>
      </w:tr>
      <w:tr w14:paraId="6645B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116" w:hRule="atLeast"/>
          <w:jc w:val="center"/>
        </w:trPr>
        <w:tc>
          <w:tcPr>
            <w:tcW w:w="47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B05353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0" w:lineRule="atLeast"/>
              <w:ind w:left="0" w:right="0"/>
            </w:pPr>
            <w:r>
              <w:rPr>
                <w:rFonts w:hint="default" w:ascii="Times New Roman" w:hAnsi="Times New Roman" w:cs="Times New Roman"/>
                <w:color w:val="000000"/>
              </w:rPr>
              <w:t>1.</w:t>
            </w:r>
            <w:r>
              <w:rPr>
                <w:rFonts w:hint="default" w:ascii="仿宋_GB2312" w:eastAsia="仿宋_GB2312" w:cs="仿宋_GB2312"/>
                <w:color w:val="000000"/>
              </w:rPr>
              <w:t>专业</w:t>
            </w:r>
          </w:p>
        </w:tc>
        <w:tc>
          <w:tcPr>
            <w:tcW w:w="1020" w:type="dxa"/>
            <w:tcBorders>
              <w:top w:val="nil"/>
              <w:left w:val="nil"/>
              <w:bottom w:val="single" w:color="auto" w:sz="8" w:space="0"/>
              <w:right w:val="single" w:color="auto" w:sz="8" w:space="0"/>
            </w:tcBorders>
            <w:shd w:val="clear" w:color="auto" w:fill="auto"/>
            <w:tcMar>
              <w:left w:w="108" w:type="dxa"/>
              <w:right w:w="108" w:type="dxa"/>
            </w:tcMar>
            <w:vAlign w:val="center"/>
          </w:tcPr>
          <w:p w14:paraId="356B181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0" w:lineRule="atLeast"/>
              <w:ind w:left="0" w:right="0"/>
            </w:pPr>
            <w:r>
              <w:rPr>
                <w:rFonts w:hint="default" w:ascii="Times New Roman" w:hAnsi="Times New Roman" w:cs="Times New Roman"/>
                <w:color w:val="000000"/>
              </w:rPr>
              <w:t>1.1</w:t>
            </w:r>
            <w:r>
              <w:rPr>
                <w:rFonts w:hint="default" w:ascii="仿宋_GB2312" w:eastAsia="仿宋_GB2312" w:cs="仿宋_GB2312"/>
                <w:color w:val="000000"/>
              </w:rPr>
              <w:t>专业建设</w:t>
            </w:r>
          </w:p>
        </w:tc>
        <w:tc>
          <w:tcPr>
            <w:tcW w:w="8657" w:type="dxa"/>
            <w:tcBorders>
              <w:top w:val="nil"/>
              <w:left w:val="nil"/>
              <w:bottom w:val="single" w:color="auto" w:sz="8" w:space="0"/>
              <w:right w:val="single" w:color="auto" w:sz="8" w:space="0"/>
            </w:tcBorders>
            <w:shd w:val="clear" w:color="auto" w:fill="auto"/>
            <w:tcMar>
              <w:left w:w="108" w:type="dxa"/>
              <w:right w:w="108" w:type="dxa"/>
            </w:tcMar>
            <w:vAlign w:val="center"/>
          </w:tcPr>
          <w:p w14:paraId="38746F1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0" w:lineRule="atLeast"/>
              <w:ind w:left="0" w:right="0"/>
            </w:pPr>
            <w:r>
              <w:rPr>
                <w:rFonts w:hint="default" w:ascii="Times New Roman" w:hAnsi="Times New Roman" w:cs="Times New Roman"/>
                <w:color w:val="000000"/>
              </w:rPr>
              <w:t>1.</w:t>
            </w:r>
            <w:r>
              <w:rPr>
                <w:rFonts w:hint="default" w:ascii="仿宋_GB2312" w:eastAsia="仿宋_GB2312" w:cs="仿宋_GB2312"/>
                <w:color w:val="000000"/>
              </w:rPr>
              <w:t>对接区域产业布局、行业产业链及发展设置专业，主要专业（群）体现行业、地方特点和学校办学定位。</w:t>
            </w:r>
          </w:p>
          <w:p w14:paraId="6D56CAB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0" w:lineRule="atLeast"/>
              <w:ind w:left="0" w:right="0"/>
            </w:pPr>
            <w:r>
              <w:rPr>
                <w:rFonts w:hint="default" w:ascii="Times New Roman" w:hAnsi="Times New Roman" w:cs="Times New Roman"/>
                <w:color w:val="000000"/>
              </w:rPr>
              <w:t>2.</w:t>
            </w:r>
            <w:r>
              <w:rPr>
                <w:rFonts w:hint="default" w:ascii="仿宋_GB2312" w:eastAsia="仿宋_GB2312" w:cs="仿宋_GB2312"/>
                <w:color w:val="000000"/>
              </w:rPr>
              <w:t>有明确的专业设置标准和程序，行业、企业等利益相关方参与，按照国家《专业目录》《专业简介》每</w:t>
            </w:r>
            <w:r>
              <w:rPr>
                <w:rFonts w:hint="default" w:ascii="Times New Roman" w:hAnsi="Times New Roman" w:cs="Times New Roman"/>
                <w:color w:val="000000"/>
              </w:rPr>
              <w:t>3</w:t>
            </w:r>
            <w:r>
              <w:rPr>
                <w:rFonts w:hint="default" w:ascii="仿宋_GB2312" w:eastAsia="仿宋_GB2312" w:cs="仿宋_GB2312"/>
                <w:color w:val="000000"/>
              </w:rPr>
              <w:t>—</w:t>
            </w:r>
            <w:r>
              <w:rPr>
                <w:rFonts w:hint="default" w:ascii="Times New Roman" w:hAnsi="Times New Roman" w:cs="Times New Roman"/>
                <w:color w:val="000000"/>
              </w:rPr>
              <w:t>5</w:t>
            </w:r>
            <w:r>
              <w:rPr>
                <w:rFonts w:hint="default" w:ascii="Times New Roman" w:hAnsi="Times New Roman" w:cs="Times New Roman"/>
                <w:color w:val="000000"/>
                <w:vertAlign w:val="superscript"/>
              </w:rPr>
              <w:t>1</w:t>
            </w:r>
            <w:r>
              <w:rPr>
                <w:rFonts w:hint="default" w:ascii="仿宋_GB2312" w:eastAsia="仿宋_GB2312" w:cs="仿宋_GB2312"/>
                <w:color w:val="000000"/>
              </w:rPr>
              <w:t>年调整或适时更新专业。</w:t>
            </w:r>
          </w:p>
          <w:p w14:paraId="5A09C2E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0" w:lineRule="atLeast"/>
              <w:ind w:left="0" w:right="0"/>
            </w:pPr>
            <w:r>
              <w:rPr>
                <w:rFonts w:hint="default" w:ascii="Times New Roman" w:hAnsi="Times New Roman" w:cs="Times New Roman"/>
                <w:color w:val="000000"/>
              </w:rPr>
              <w:t>3.</w:t>
            </w:r>
            <w:r>
              <w:rPr>
                <w:rFonts w:hint="default" w:ascii="仿宋_GB2312" w:eastAsia="仿宋_GB2312" w:cs="仿宋_GB2312"/>
                <w:color w:val="000000"/>
              </w:rPr>
              <w:t>专业建设规划科学，坚持产教融合、校企合作建设专业，主要专业（群）资源配置、学生规模与学校办学定位的匹配度高、社会认可度高。</w:t>
            </w:r>
          </w:p>
          <w:p w14:paraId="64B14FF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0" w:lineRule="atLeast"/>
              <w:ind w:left="0" w:right="0"/>
            </w:pPr>
            <w:r>
              <w:rPr>
                <w:rFonts w:hint="default" w:ascii="Times New Roman" w:hAnsi="Times New Roman" w:cs="Times New Roman"/>
                <w:color w:val="000000"/>
              </w:rPr>
              <w:t>4.</w:t>
            </w:r>
            <w:r>
              <w:rPr>
                <w:rFonts w:hint="default" w:ascii="仿宋_GB2312" w:eastAsia="仿宋_GB2312" w:cs="仿宋_GB2312"/>
                <w:color w:val="000000"/>
              </w:rPr>
              <w:t>主动适应数字化、智能化、高质量的新要求，专业结构与产业布局协调，重点发展产业急需专业，结合产业技术突破、工艺改进、业态升级等情况改造升级现有专业，及时开设新专业（方向），培育孵化新兴专业，主要专业（群）非本地教育行政主管部门</w:t>
            </w:r>
            <w:r>
              <w:rPr>
                <w:rFonts w:hint="default" w:ascii="Times New Roman" w:hAnsi="Times New Roman" w:cs="Times New Roman"/>
                <w:color w:val="000000"/>
              </w:rPr>
              <w:t>“</w:t>
            </w:r>
            <w:r>
              <w:rPr>
                <w:rFonts w:hint="default" w:ascii="仿宋_GB2312" w:eastAsia="仿宋_GB2312" w:cs="仿宋_GB2312"/>
                <w:color w:val="000000"/>
              </w:rPr>
              <w:t>预警</w:t>
            </w:r>
            <w:r>
              <w:rPr>
                <w:rFonts w:hint="default" w:ascii="Times New Roman" w:hAnsi="Times New Roman" w:cs="Times New Roman"/>
                <w:color w:val="000000"/>
              </w:rPr>
              <w:t>”</w:t>
            </w:r>
            <w:r>
              <w:rPr>
                <w:rFonts w:hint="default" w:ascii="仿宋_GB2312" w:eastAsia="仿宋_GB2312" w:cs="仿宋_GB2312"/>
                <w:color w:val="000000"/>
              </w:rPr>
              <w:t>或</w:t>
            </w:r>
            <w:r>
              <w:rPr>
                <w:rFonts w:hint="default" w:ascii="Times New Roman" w:hAnsi="Times New Roman" w:cs="Times New Roman"/>
                <w:color w:val="000000"/>
              </w:rPr>
              <w:t>“</w:t>
            </w:r>
            <w:r>
              <w:rPr>
                <w:rFonts w:hint="default" w:ascii="仿宋_GB2312" w:eastAsia="仿宋_GB2312" w:cs="仿宋_GB2312"/>
                <w:color w:val="000000"/>
              </w:rPr>
              <w:t>限制发展</w:t>
            </w:r>
            <w:r>
              <w:rPr>
                <w:rFonts w:hint="default" w:ascii="Times New Roman" w:hAnsi="Times New Roman" w:cs="Times New Roman"/>
                <w:color w:val="000000"/>
              </w:rPr>
              <w:t>”</w:t>
            </w:r>
            <w:r>
              <w:rPr>
                <w:rFonts w:hint="default" w:ascii="仿宋_GB2312" w:eastAsia="仿宋_GB2312" w:cs="仿宋_GB2312"/>
                <w:color w:val="000000"/>
              </w:rPr>
              <w:t>的专业。</w:t>
            </w:r>
          </w:p>
          <w:p w14:paraId="1498B30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0" w:lineRule="atLeast"/>
              <w:ind w:left="0" w:right="0"/>
            </w:pPr>
            <w:r>
              <w:rPr>
                <w:rFonts w:hint="default" w:ascii="Times New Roman" w:hAnsi="Times New Roman" w:cs="Times New Roman"/>
                <w:color w:val="000000"/>
              </w:rPr>
              <w:t>5.</w:t>
            </w:r>
            <w:r>
              <w:rPr>
                <w:rFonts w:hint="default" w:ascii="仿宋_GB2312" w:eastAsia="仿宋_GB2312" w:cs="仿宋_GB2312"/>
                <w:color w:val="000000"/>
              </w:rPr>
              <w:t>具备高技能人才培养所需的教学场所、师资队伍和设施设备等条件和保障，管理制度健全，运行规范有效</w:t>
            </w:r>
          </w:p>
        </w:tc>
      </w:tr>
      <w:tr w14:paraId="2A025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6" w:hRule="atLeast"/>
          <w:jc w:val="center"/>
        </w:trPr>
        <w:tc>
          <w:tcPr>
            <w:tcW w:w="47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103677B">
            <w:pPr>
              <w:rPr>
                <w:rFonts w:hint="eastAsia" w:ascii="宋体"/>
                <w:sz w:val="24"/>
                <w:szCs w:val="24"/>
              </w:rPr>
            </w:pPr>
          </w:p>
        </w:tc>
        <w:tc>
          <w:tcPr>
            <w:tcW w:w="1020" w:type="dxa"/>
            <w:tcBorders>
              <w:top w:val="nil"/>
              <w:left w:val="nil"/>
              <w:bottom w:val="single" w:color="auto" w:sz="8" w:space="0"/>
              <w:right w:val="single" w:color="auto" w:sz="8" w:space="0"/>
            </w:tcBorders>
            <w:shd w:val="clear" w:color="auto" w:fill="auto"/>
            <w:tcMar>
              <w:left w:w="108" w:type="dxa"/>
              <w:right w:w="108" w:type="dxa"/>
            </w:tcMar>
            <w:vAlign w:val="center"/>
          </w:tcPr>
          <w:p w14:paraId="2403FDB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0" w:lineRule="atLeast"/>
              <w:ind w:left="0" w:right="0"/>
            </w:pPr>
            <w:r>
              <w:rPr>
                <w:rFonts w:hint="default" w:ascii="Times New Roman" w:hAnsi="Times New Roman" w:cs="Times New Roman"/>
                <w:color w:val="000000"/>
              </w:rPr>
              <w:t>1.2</w:t>
            </w:r>
            <w:r>
              <w:rPr>
                <w:rFonts w:hint="default" w:ascii="仿宋_GB2312" w:eastAsia="仿宋_GB2312" w:cs="仿宋_GB2312"/>
                <w:color w:val="000000"/>
              </w:rPr>
              <w:t>人才培养</w:t>
            </w:r>
          </w:p>
        </w:tc>
        <w:tc>
          <w:tcPr>
            <w:tcW w:w="8657" w:type="dxa"/>
            <w:tcBorders>
              <w:top w:val="nil"/>
              <w:left w:val="nil"/>
              <w:bottom w:val="single" w:color="auto" w:sz="8" w:space="0"/>
              <w:right w:val="single" w:color="auto" w:sz="8" w:space="0"/>
            </w:tcBorders>
            <w:shd w:val="clear" w:color="auto" w:fill="auto"/>
            <w:tcMar>
              <w:left w:w="108" w:type="dxa"/>
              <w:right w:w="108" w:type="dxa"/>
            </w:tcMar>
            <w:vAlign w:val="center"/>
          </w:tcPr>
          <w:p w14:paraId="0578004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0" w:lineRule="atLeast"/>
              <w:ind w:left="0" w:right="0"/>
            </w:pPr>
            <w:r>
              <w:rPr>
                <w:rFonts w:hint="default" w:ascii="Times New Roman" w:hAnsi="Times New Roman" w:eastAsia="仿宋_GB2312" w:cs="Times New Roman"/>
                <w:color w:val="000000"/>
              </w:rPr>
              <w:t>6.</w:t>
            </w:r>
            <w:r>
              <w:rPr>
                <w:rFonts w:hint="default" w:ascii="仿宋_GB2312" w:eastAsia="仿宋_GB2312" w:cs="仿宋_GB2312"/>
                <w:color w:val="000000"/>
              </w:rPr>
              <w:t>贯彻党的教育方针，坚持立德树人，实施三全育人，坚持五育并举，注重劳模精神、劳动精神、工匠精神培养。</w:t>
            </w:r>
          </w:p>
          <w:p w14:paraId="3E6C4F7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0" w:lineRule="atLeast"/>
              <w:ind w:left="0" w:right="0"/>
            </w:pPr>
            <w:r>
              <w:rPr>
                <w:rFonts w:hint="default" w:ascii="Times New Roman" w:hAnsi="Times New Roman" w:eastAsia="仿宋_GB2312" w:cs="Times New Roman"/>
                <w:color w:val="000000"/>
              </w:rPr>
              <w:t>7.</w:t>
            </w:r>
            <w:r>
              <w:rPr>
                <w:rFonts w:hint="default" w:ascii="仿宋_GB2312" w:eastAsia="仿宋_GB2312" w:cs="仿宋_GB2312"/>
                <w:color w:val="000000"/>
              </w:rPr>
              <w:t>落实国家职业学校专业人才培养方案编制要求，培养目标明确、培养方案合理，实施规范，修订及时。</w:t>
            </w:r>
          </w:p>
          <w:p w14:paraId="268CD16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0" w:lineRule="atLeast"/>
              <w:ind w:left="0" w:right="0"/>
            </w:pPr>
            <w:r>
              <w:rPr>
                <w:rFonts w:hint="default" w:ascii="Times New Roman" w:hAnsi="Times New Roman" w:eastAsia="仿宋_GB2312" w:cs="Times New Roman"/>
                <w:color w:val="000000"/>
              </w:rPr>
              <w:t>8.</w:t>
            </w:r>
            <w:r>
              <w:rPr>
                <w:rFonts w:hint="default" w:ascii="仿宋_GB2312" w:eastAsia="仿宋_GB2312" w:cs="仿宋_GB2312"/>
                <w:color w:val="000000"/>
              </w:rPr>
              <w:t>坚持校企协同育人，行业企业参与人才培养全过程，创新校企合作、工学结合人才培养模式，开展委托培养、订单培养与中国特色学徒制培养；实践教学学时不少于总学时的</w:t>
            </w:r>
            <w:r>
              <w:rPr>
                <w:rFonts w:hint="default" w:ascii="Times New Roman" w:hAnsi="Times New Roman" w:eastAsia="仿宋_GB2312" w:cs="Times New Roman"/>
                <w:color w:val="000000"/>
              </w:rPr>
              <w:t>50%</w:t>
            </w:r>
            <w:r>
              <w:rPr>
                <w:rFonts w:hint="default" w:ascii="仿宋_GB2312" w:eastAsia="仿宋_GB2312" w:cs="仿宋_GB2312"/>
                <w:color w:val="000000"/>
              </w:rPr>
              <w:t>，学生岗位实习时间一般为</w:t>
            </w:r>
            <w:r>
              <w:rPr>
                <w:rFonts w:hint="default" w:ascii="Times New Roman" w:hAnsi="Times New Roman" w:eastAsia="仿宋_GB2312" w:cs="Times New Roman"/>
                <w:color w:val="000000"/>
              </w:rPr>
              <w:t>6</w:t>
            </w:r>
            <w:r>
              <w:rPr>
                <w:rFonts w:hint="default" w:ascii="仿宋_GB2312" w:eastAsia="仿宋_GB2312" w:cs="仿宋_GB2312"/>
                <w:color w:val="000000"/>
              </w:rPr>
              <w:t>个月</w:t>
            </w:r>
            <w:r>
              <w:rPr>
                <w:rFonts w:hint="default" w:ascii="Times New Roman" w:hAnsi="Times New Roman" w:eastAsia="仿宋_GB2312" w:cs="Times New Roman"/>
                <w:color w:val="000000"/>
                <w:vertAlign w:val="superscript"/>
              </w:rPr>
              <w:t>2</w:t>
            </w:r>
          </w:p>
        </w:tc>
      </w:tr>
      <w:tr w14:paraId="284A8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04" w:hRule="atLeast"/>
          <w:jc w:val="center"/>
        </w:trPr>
        <w:tc>
          <w:tcPr>
            <w:tcW w:w="47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170C95A">
            <w:pPr>
              <w:rPr>
                <w:rFonts w:hint="eastAsia" w:ascii="宋体"/>
                <w:sz w:val="24"/>
                <w:szCs w:val="24"/>
              </w:rPr>
            </w:pPr>
          </w:p>
        </w:tc>
        <w:tc>
          <w:tcPr>
            <w:tcW w:w="1020" w:type="dxa"/>
            <w:tcBorders>
              <w:top w:val="nil"/>
              <w:left w:val="nil"/>
              <w:bottom w:val="single" w:color="auto" w:sz="8" w:space="0"/>
              <w:right w:val="single" w:color="auto" w:sz="8" w:space="0"/>
            </w:tcBorders>
            <w:shd w:val="clear" w:color="auto" w:fill="auto"/>
            <w:tcMar>
              <w:left w:w="108" w:type="dxa"/>
              <w:right w:w="108" w:type="dxa"/>
            </w:tcMar>
            <w:vAlign w:val="center"/>
          </w:tcPr>
          <w:p w14:paraId="723049E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0" w:lineRule="atLeast"/>
              <w:ind w:left="0" w:right="0"/>
            </w:pPr>
            <w:r>
              <w:rPr>
                <w:rFonts w:hint="default" w:ascii="Times New Roman" w:hAnsi="Times New Roman" w:cs="Times New Roman"/>
                <w:color w:val="000000"/>
              </w:rPr>
              <w:t>1.3</w:t>
            </w:r>
            <w:r>
              <w:rPr>
                <w:rFonts w:hint="default" w:ascii="仿宋_GB2312" w:eastAsia="仿宋_GB2312" w:cs="仿宋_GB2312"/>
                <w:color w:val="000000"/>
              </w:rPr>
              <w:t>就业状况</w:t>
            </w:r>
          </w:p>
        </w:tc>
        <w:tc>
          <w:tcPr>
            <w:tcW w:w="8657" w:type="dxa"/>
            <w:tcBorders>
              <w:top w:val="nil"/>
              <w:left w:val="nil"/>
              <w:bottom w:val="single" w:color="auto" w:sz="8" w:space="0"/>
              <w:right w:val="single" w:color="auto" w:sz="8" w:space="0"/>
            </w:tcBorders>
            <w:shd w:val="clear" w:color="auto" w:fill="auto"/>
            <w:tcMar>
              <w:left w:w="108" w:type="dxa"/>
              <w:right w:w="108" w:type="dxa"/>
            </w:tcMar>
            <w:vAlign w:val="center"/>
          </w:tcPr>
          <w:p w14:paraId="2C5537A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0" w:lineRule="atLeast"/>
              <w:ind w:left="0" w:right="0"/>
            </w:pPr>
            <w:r>
              <w:rPr>
                <w:rFonts w:hint="default" w:ascii="Times New Roman" w:hAnsi="Times New Roman" w:cs="Times New Roman"/>
                <w:color w:val="000000"/>
              </w:rPr>
              <w:t>9.</w:t>
            </w:r>
            <w:r>
              <w:rPr>
                <w:rFonts w:hint="default" w:ascii="仿宋_GB2312" w:eastAsia="仿宋_GB2312" w:cs="仿宋_GB2312"/>
                <w:color w:val="000000"/>
              </w:rPr>
              <w:t>以促进就业为导向，加强学生就业创业能力培养，积极争取市场、社会促就业资源，尤其是主动对接人力资源社会保障系统促就业专项，毕业生半年后就业去向落实率、主要专业对口就业率高</w:t>
            </w:r>
            <w:r>
              <w:rPr>
                <w:rFonts w:hint="default" w:ascii="Times New Roman" w:hAnsi="Times New Roman" w:cs="Times New Roman"/>
                <w:color w:val="000000"/>
                <w:vertAlign w:val="superscript"/>
              </w:rPr>
              <w:t>3</w:t>
            </w:r>
            <w:r>
              <w:rPr>
                <w:rFonts w:hint="default" w:ascii="仿宋_GB2312" w:eastAsia="仿宋_GB2312" w:cs="仿宋_GB2312"/>
                <w:color w:val="000000"/>
              </w:rPr>
              <w:t>，“红黄牌”提示学生专业点招生调减及相关工作落实到位</w:t>
            </w:r>
          </w:p>
        </w:tc>
      </w:tr>
      <w:tr w14:paraId="51336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7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95622E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0" w:lineRule="atLeast"/>
              <w:ind w:left="0" w:right="0"/>
            </w:pPr>
            <w:r>
              <w:rPr>
                <w:rFonts w:hint="default" w:ascii="Times New Roman" w:hAnsi="Times New Roman" w:cs="Times New Roman"/>
                <w:color w:val="000000"/>
              </w:rPr>
              <w:t>2.</w:t>
            </w:r>
            <w:r>
              <w:rPr>
                <w:rFonts w:hint="default" w:ascii="仿宋_GB2312" w:eastAsia="仿宋_GB2312" w:cs="仿宋_GB2312"/>
                <w:color w:val="000000"/>
              </w:rPr>
              <w:t>课程</w:t>
            </w:r>
          </w:p>
        </w:tc>
        <w:tc>
          <w:tcPr>
            <w:tcW w:w="1020" w:type="dxa"/>
            <w:tcBorders>
              <w:top w:val="nil"/>
              <w:left w:val="nil"/>
              <w:bottom w:val="single" w:color="auto" w:sz="8" w:space="0"/>
              <w:right w:val="single" w:color="auto" w:sz="8" w:space="0"/>
            </w:tcBorders>
            <w:shd w:val="clear" w:color="auto" w:fill="auto"/>
            <w:tcMar>
              <w:left w:w="108" w:type="dxa"/>
              <w:right w:w="108" w:type="dxa"/>
            </w:tcMar>
            <w:vAlign w:val="center"/>
          </w:tcPr>
          <w:p w14:paraId="612876E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0" w:lineRule="atLeast"/>
              <w:ind w:left="0" w:right="0"/>
            </w:pPr>
            <w:r>
              <w:rPr>
                <w:rFonts w:hint="default" w:ascii="Times New Roman" w:hAnsi="Times New Roman" w:cs="Times New Roman"/>
                <w:color w:val="000000"/>
              </w:rPr>
              <w:t>2.1</w:t>
            </w:r>
            <w:r>
              <w:rPr>
                <w:rFonts w:hint="default" w:ascii="仿宋_GB2312" w:eastAsia="仿宋_GB2312" w:cs="仿宋_GB2312"/>
                <w:color w:val="000000"/>
              </w:rPr>
              <w:t>思政课程</w:t>
            </w:r>
          </w:p>
        </w:tc>
        <w:tc>
          <w:tcPr>
            <w:tcW w:w="8657" w:type="dxa"/>
            <w:tcBorders>
              <w:top w:val="nil"/>
              <w:left w:val="nil"/>
              <w:bottom w:val="single" w:color="auto" w:sz="8" w:space="0"/>
              <w:right w:val="single" w:color="auto" w:sz="8" w:space="0"/>
            </w:tcBorders>
            <w:shd w:val="clear" w:color="auto" w:fill="auto"/>
            <w:tcMar>
              <w:left w:w="108" w:type="dxa"/>
              <w:right w:w="108" w:type="dxa"/>
            </w:tcMar>
            <w:vAlign w:val="center"/>
          </w:tcPr>
          <w:p w14:paraId="06E1446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0" w:lineRule="atLeast"/>
              <w:ind w:left="0" w:right="0"/>
            </w:pPr>
            <w:r>
              <w:rPr>
                <w:rFonts w:hint="default" w:ascii="Times New Roman" w:hAnsi="Times New Roman" w:cs="Times New Roman"/>
                <w:color w:val="000000"/>
              </w:rPr>
              <w:t>10.</w:t>
            </w:r>
            <w:r>
              <w:rPr>
                <w:rFonts w:hint="default" w:ascii="仿宋_GB2312" w:eastAsia="仿宋_GB2312" w:cs="仿宋_GB2312"/>
                <w:color w:val="000000"/>
              </w:rPr>
              <w:t>坚持以习近平新时代中国特色社会主义思想为指导，加强思政课程建设；落实培养让党放心、爱国奉献、担当民族复兴重任的时代新人的要求，贯彻总体国家安全观，开齐开足思政课程</w:t>
            </w:r>
          </w:p>
        </w:tc>
      </w:tr>
      <w:tr w14:paraId="67BDE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jc w:val="center"/>
        </w:trPr>
        <w:tc>
          <w:tcPr>
            <w:tcW w:w="47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127B502">
            <w:pPr>
              <w:rPr>
                <w:rFonts w:hint="eastAsia" w:ascii="宋体"/>
                <w:sz w:val="24"/>
                <w:szCs w:val="24"/>
              </w:rPr>
            </w:pPr>
          </w:p>
        </w:tc>
        <w:tc>
          <w:tcPr>
            <w:tcW w:w="1020" w:type="dxa"/>
            <w:tcBorders>
              <w:top w:val="nil"/>
              <w:left w:val="nil"/>
              <w:bottom w:val="single" w:color="auto" w:sz="8" w:space="0"/>
              <w:right w:val="single" w:color="auto" w:sz="8" w:space="0"/>
            </w:tcBorders>
            <w:shd w:val="clear" w:color="auto" w:fill="auto"/>
            <w:tcMar>
              <w:left w:w="108" w:type="dxa"/>
              <w:right w:w="108" w:type="dxa"/>
            </w:tcMar>
            <w:vAlign w:val="center"/>
          </w:tcPr>
          <w:p w14:paraId="262734C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0" w:lineRule="atLeast"/>
              <w:ind w:left="0" w:right="0"/>
            </w:pPr>
            <w:r>
              <w:rPr>
                <w:rFonts w:hint="default" w:ascii="Times New Roman" w:hAnsi="Times New Roman" w:cs="Times New Roman"/>
                <w:color w:val="000000"/>
              </w:rPr>
              <w:t>2.2</w:t>
            </w:r>
            <w:r>
              <w:rPr>
                <w:rFonts w:hint="default" w:ascii="仿宋_GB2312" w:eastAsia="仿宋_GB2312" w:cs="仿宋_GB2312"/>
                <w:color w:val="000000"/>
              </w:rPr>
              <w:t>课程建设</w:t>
            </w:r>
          </w:p>
        </w:tc>
        <w:tc>
          <w:tcPr>
            <w:tcW w:w="8657" w:type="dxa"/>
            <w:tcBorders>
              <w:top w:val="nil"/>
              <w:left w:val="nil"/>
              <w:bottom w:val="single" w:color="auto" w:sz="8" w:space="0"/>
              <w:right w:val="single" w:color="auto" w:sz="8" w:space="0"/>
            </w:tcBorders>
            <w:shd w:val="clear" w:color="auto" w:fill="auto"/>
            <w:tcMar>
              <w:left w:w="108" w:type="dxa"/>
              <w:right w:w="108" w:type="dxa"/>
            </w:tcMar>
            <w:vAlign w:val="center"/>
          </w:tcPr>
          <w:p w14:paraId="2E9D105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0" w:lineRule="atLeast"/>
              <w:ind w:left="0" w:right="0"/>
            </w:pPr>
            <w:r>
              <w:rPr>
                <w:rFonts w:hint="default" w:ascii="Times New Roman" w:hAnsi="Times New Roman" w:cs="Times New Roman"/>
                <w:color w:val="000000"/>
              </w:rPr>
              <w:t>11.</w:t>
            </w:r>
            <w:r>
              <w:rPr>
                <w:rFonts w:hint="default" w:ascii="仿宋_GB2312" w:eastAsia="仿宋_GB2312" w:cs="仿宋_GB2312"/>
                <w:color w:val="000000"/>
              </w:rPr>
              <w:t>课程设置</w:t>
            </w:r>
            <w:r>
              <w:rPr>
                <w:rFonts w:hint="default" w:ascii="仿宋_GB2312" w:eastAsia="仿宋_GB2312" w:cs="仿宋_GB2312"/>
              </w:rPr>
              <w:t>以服务学生全面发展和适应经济社会发展需求为导向，</w:t>
            </w:r>
            <w:r>
              <w:rPr>
                <w:rFonts w:hint="default" w:ascii="仿宋_GB2312" w:eastAsia="仿宋_GB2312" w:cs="仿宋_GB2312"/>
                <w:color w:val="000000"/>
              </w:rPr>
              <w:t>符合国家专业教学标准，课程标准符合人才培养方案要求，能够支撑培养目标达成。</w:t>
            </w:r>
          </w:p>
          <w:p w14:paraId="21A2574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0" w:lineRule="atLeast"/>
              <w:ind w:left="0" w:right="0"/>
            </w:pPr>
            <w:r>
              <w:rPr>
                <w:rFonts w:hint="default" w:ascii="Times New Roman" w:hAnsi="Times New Roman" w:cs="Times New Roman"/>
                <w:color w:val="000000"/>
              </w:rPr>
              <w:t>12.</w:t>
            </w:r>
            <w:r>
              <w:rPr>
                <w:rFonts w:hint="default" w:ascii="仿宋_GB2312" w:eastAsia="仿宋_GB2312" w:cs="仿宋_GB2312"/>
                <w:color w:val="000000"/>
              </w:rPr>
              <w:t>结构合理，公共基础课程学时不少于总学时的</w:t>
            </w:r>
            <w:r>
              <w:rPr>
                <w:rFonts w:hint="default" w:ascii="Times New Roman" w:hAnsi="Times New Roman" w:cs="Times New Roman"/>
                <w:color w:val="000000"/>
              </w:rPr>
              <w:t>1/4</w:t>
            </w:r>
            <w:r>
              <w:rPr>
                <w:rFonts w:hint="default" w:ascii="Times New Roman" w:hAnsi="Times New Roman" w:cs="Times New Roman"/>
                <w:color w:val="000000"/>
                <w:vertAlign w:val="superscript"/>
              </w:rPr>
              <w:t>4</w:t>
            </w:r>
            <w:r>
              <w:rPr>
                <w:rFonts w:hint="default" w:ascii="仿宋_GB2312" w:eastAsia="仿宋_GB2312" w:cs="仿宋_GB2312"/>
                <w:color w:val="000000"/>
              </w:rPr>
              <w:t>；专业课程对接职业岗位（群）要求，突出实践性和递进性；选修课程体现专业和区域特色，学时不少于总学时的</w:t>
            </w:r>
            <w:r>
              <w:rPr>
                <w:rFonts w:hint="default" w:ascii="Times New Roman" w:hAnsi="Times New Roman" w:cs="Times New Roman"/>
                <w:color w:val="000000"/>
              </w:rPr>
              <w:t>10%</w:t>
            </w:r>
            <w:r>
              <w:rPr>
                <w:rFonts w:hint="default" w:ascii="Times New Roman" w:hAnsi="Times New Roman" w:cs="Times New Roman"/>
                <w:color w:val="000000"/>
                <w:vertAlign w:val="superscript"/>
              </w:rPr>
              <w:t>5</w:t>
            </w:r>
            <w:r>
              <w:rPr>
                <w:rFonts w:hint="default" w:ascii="仿宋_GB2312" w:eastAsia="仿宋_GB2312" w:cs="仿宋_GB2312"/>
                <w:color w:val="000000"/>
              </w:rPr>
              <w:t>。</w:t>
            </w:r>
          </w:p>
          <w:p w14:paraId="741D90F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0" w:lineRule="atLeast"/>
              <w:ind w:left="0" w:right="0"/>
            </w:pPr>
            <w:r>
              <w:rPr>
                <w:rFonts w:hint="default" w:ascii="Times New Roman" w:hAnsi="Times New Roman" w:cs="Times New Roman"/>
                <w:color w:val="000000"/>
              </w:rPr>
              <w:t>13.</w:t>
            </w:r>
            <w:r>
              <w:rPr>
                <w:rFonts w:hint="default" w:ascii="仿宋_GB2312" w:eastAsia="仿宋_GB2312" w:cs="仿宋_GB2312"/>
                <w:color w:val="000000"/>
              </w:rPr>
              <w:t>课程内容反映真实工作任务和工作过程，对接职业岗位（群）能力要求，绘制能力图谱；根据产业发展及时更新课程内容，反映相关领域新标准、新技术、新工艺、新方法。</w:t>
            </w:r>
          </w:p>
          <w:p w14:paraId="66C2830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0" w:lineRule="atLeast"/>
              <w:ind w:left="0" w:right="0"/>
            </w:pPr>
            <w:r>
              <w:rPr>
                <w:rFonts w:hint="default" w:ascii="Times New Roman" w:hAnsi="Times New Roman" w:cs="Times New Roman"/>
                <w:color w:val="000000"/>
              </w:rPr>
              <w:t>14.</w:t>
            </w:r>
            <w:r>
              <w:rPr>
                <w:rFonts w:hint="default" w:ascii="仿宋_GB2312" w:eastAsia="仿宋_GB2312" w:cs="仿宋_GB2312"/>
                <w:color w:val="000000"/>
              </w:rPr>
              <w:t>全面实施课程思政，深入挖掘具有职业特征和行业特色的思政元素，推进课程思政与思政课程同向同行</w:t>
            </w:r>
          </w:p>
        </w:tc>
      </w:tr>
      <w:tr w14:paraId="1C5BA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9" w:hRule="atLeast"/>
          <w:jc w:val="center"/>
        </w:trPr>
        <w:tc>
          <w:tcPr>
            <w:tcW w:w="47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2FBEE17">
            <w:pPr>
              <w:rPr>
                <w:rFonts w:hint="eastAsia" w:ascii="宋体"/>
                <w:sz w:val="24"/>
                <w:szCs w:val="24"/>
              </w:rPr>
            </w:pPr>
          </w:p>
        </w:tc>
        <w:tc>
          <w:tcPr>
            <w:tcW w:w="1020" w:type="dxa"/>
            <w:tcBorders>
              <w:top w:val="nil"/>
              <w:left w:val="nil"/>
              <w:bottom w:val="single" w:color="auto" w:sz="8" w:space="0"/>
              <w:right w:val="single" w:color="auto" w:sz="8" w:space="0"/>
            </w:tcBorders>
            <w:shd w:val="clear" w:color="auto" w:fill="auto"/>
            <w:tcMar>
              <w:left w:w="108" w:type="dxa"/>
              <w:right w:w="108" w:type="dxa"/>
            </w:tcMar>
            <w:vAlign w:val="center"/>
          </w:tcPr>
          <w:p w14:paraId="66816B6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0" w:lineRule="atLeast"/>
              <w:ind w:left="0" w:right="0"/>
            </w:pPr>
            <w:r>
              <w:rPr>
                <w:rFonts w:hint="default" w:ascii="Times New Roman" w:hAnsi="Times New Roman" w:cs="Times New Roman"/>
                <w:color w:val="000000"/>
              </w:rPr>
              <w:t>2.3</w:t>
            </w:r>
            <w:r>
              <w:rPr>
                <w:rFonts w:hint="default" w:ascii="仿宋_GB2312" w:eastAsia="仿宋_GB2312" w:cs="仿宋_GB2312"/>
                <w:color w:val="000000"/>
              </w:rPr>
              <w:t>教学与评价</w:t>
            </w:r>
          </w:p>
        </w:tc>
        <w:tc>
          <w:tcPr>
            <w:tcW w:w="8657" w:type="dxa"/>
            <w:tcBorders>
              <w:top w:val="nil"/>
              <w:left w:val="nil"/>
              <w:bottom w:val="single" w:color="auto" w:sz="8" w:space="0"/>
              <w:right w:val="single" w:color="auto" w:sz="8" w:space="0"/>
            </w:tcBorders>
            <w:shd w:val="clear" w:color="auto" w:fill="auto"/>
            <w:tcMar>
              <w:left w:w="108" w:type="dxa"/>
              <w:right w:w="108" w:type="dxa"/>
            </w:tcMar>
            <w:vAlign w:val="center"/>
          </w:tcPr>
          <w:p w14:paraId="07C49E1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0" w:lineRule="atLeast"/>
              <w:ind w:left="0" w:right="0"/>
            </w:pPr>
            <w:r>
              <w:rPr>
                <w:rFonts w:hint="default" w:ascii="Times New Roman" w:hAnsi="Times New Roman" w:cs="Times New Roman"/>
                <w:color w:val="000000"/>
              </w:rPr>
              <w:t>15.</w:t>
            </w:r>
            <w:r>
              <w:rPr>
                <w:rFonts w:hint="default" w:ascii="仿宋_GB2312" w:eastAsia="仿宋_GB2312" w:cs="仿宋_GB2312"/>
                <w:color w:val="000000"/>
              </w:rPr>
              <w:t>坚持因材施教，利用数字技术改进教学方法，推行项目教学、案例教学、情境教学、模块化教学等，专业课程广泛采用</w:t>
            </w:r>
            <w:r>
              <w:rPr>
                <w:rFonts w:hint="default" w:ascii="Times New Roman" w:hAnsi="Times New Roman" w:cs="Times New Roman"/>
                <w:color w:val="000000"/>
              </w:rPr>
              <w:t>“</w:t>
            </w:r>
            <w:r>
              <w:rPr>
                <w:rFonts w:hint="default" w:ascii="仿宋_GB2312" w:eastAsia="仿宋_GB2312" w:cs="仿宋_GB2312"/>
                <w:color w:val="000000"/>
              </w:rPr>
              <w:t>学中做、做中学</w:t>
            </w:r>
            <w:r>
              <w:rPr>
                <w:rFonts w:hint="default" w:ascii="Times New Roman" w:hAnsi="Times New Roman" w:cs="Times New Roman"/>
                <w:color w:val="000000"/>
              </w:rPr>
              <w:t>”</w:t>
            </w:r>
            <w:r>
              <w:rPr>
                <w:rFonts w:hint="default" w:ascii="仿宋_GB2312" w:eastAsia="仿宋_GB2312" w:cs="仿宋_GB2312"/>
                <w:color w:val="000000"/>
              </w:rPr>
              <w:t>。</w:t>
            </w:r>
          </w:p>
          <w:p w14:paraId="4E7FCA6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0" w:lineRule="atLeast"/>
              <w:ind w:left="0" w:right="0"/>
            </w:pPr>
            <w:r>
              <w:rPr>
                <w:rFonts w:hint="default" w:ascii="Times New Roman" w:hAnsi="Times New Roman" w:cs="Times New Roman"/>
                <w:color w:val="000000"/>
              </w:rPr>
              <w:t>16.</w:t>
            </w:r>
            <w:r>
              <w:rPr>
                <w:rFonts w:hint="default" w:ascii="仿宋_GB2312" w:eastAsia="仿宋_GB2312" w:cs="仿宋_GB2312"/>
                <w:color w:val="000000"/>
              </w:rPr>
              <w:t>建立教学质量标准，多元主体参与教学评价，常态化实施教学质量监控，评价结果运用于教学改进</w:t>
            </w:r>
          </w:p>
        </w:tc>
      </w:tr>
      <w:tr w14:paraId="35CEC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8" w:hRule="atLeast"/>
          <w:jc w:val="center"/>
        </w:trPr>
        <w:tc>
          <w:tcPr>
            <w:tcW w:w="47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24CAE4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0" w:lineRule="atLeast"/>
              <w:ind w:left="0" w:right="0"/>
            </w:pPr>
            <w:r>
              <w:rPr>
                <w:rFonts w:hint="default" w:ascii="Times New Roman" w:hAnsi="Times New Roman" w:cs="Times New Roman"/>
                <w:color w:val="000000"/>
              </w:rPr>
              <w:t>3.</w:t>
            </w:r>
            <w:r>
              <w:rPr>
                <w:rFonts w:hint="default" w:ascii="仿宋_GB2312" w:eastAsia="仿宋_GB2312" w:cs="仿宋_GB2312"/>
                <w:color w:val="000000"/>
              </w:rPr>
              <w:t>教材</w:t>
            </w:r>
          </w:p>
        </w:tc>
        <w:tc>
          <w:tcPr>
            <w:tcW w:w="1020" w:type="dxa"/>
            <w:tcBorders>
              <w:top w:val="nil"/>
              <w:left w:val="nil"/>
              <w:bottom w:val="single" w:color="auto" w:sz="8" w:space="0"/>
              <w:right w:val="single" w:color="auto" w:sz="8" w:space="0"/>
            </w:tcBorders>
            <w:shd w:val="clear" w:color="auto" w:fill="auto"/>
            <w:tcMar>
              <w:left w:w="108" w:type="dxa"/>
              <w:right w:w="108" w:type="dxa"/>
            </w:tcMar>
            <w:vAlign w:val="center"/>
          </w:tcPr>
          <w:p w14:paraId="6CDCED7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0" w:lineRule="atLeast"/>
              <w:ind w:left="0" w:right="0"/>
            </w:pPr>
            <w:r>
              <w:rPr>
                <w:rFonts w:hint="default" w:ascii="Times New Roman" w:hAnsi="Times New Roman" w:cs="Times New Roman"/>
                <w:color w:val="000000"/>
              </w:rPr>
              <w:t>3.1</w:t>
            </w:r>
            <w:r>
              <w:rPr>
                <w:rFonts w:hint="default" w:ascii="仿宋_GB2312" w:eastAsia="仿宋_GB2312" w:cs="仿宋_GB2312"/>
                <w:color w:val="000000"/>
              </w:rPr>
              <w:t>教材管理与选用</w:t>
            </w:r>
          </w:p>
        </w:tc>
        <w:tc>
          <w:tcPr>
            <w:tcW w:w="8657" w:type="dxa"/>
            <w:tcBorders>
              <w:top w:val="nil"/>
              <w:left w:val="nil"/>
              <w:bottom w:val="single" w:color="auto" w:sz="8" w:space="0"/>
              <w:right w:val="single" w:color="auto" w:sz="8" w:space="0"/>
            </w:tcBorders>
            <w:shd w:val="clear" w:color="auto" w:fill="auto"/>
            <w:tcMar>
              <w:left w:w="108" w:type="dxa"/>
              <w:right w:w="108" w:type="dxa"/>
            </w:tcMar>
            <w:vAlign w:val="center"/>
          </w:tcPr>
          <w:p w14:paraId="60C8526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0" w:lineRule="atLeast"/>
              <w:ind w:left="0" w:right="0"/>
            </w:pPr>
            <w:r>
              <w:rPr>
                <w:rFonts w:hint="default" w:ascii="Times New Roman" w:hAnsi="Times New Roman" w:cs="Times New Roman"/>
                <w:color w:val="000000"/>
              </w:rPr>
              <w:t>17.</w:t>
            </w:r>
            <w:r>
              <w:rPr>
                <w:rFonts w:hint="default" w:ascii="仿宋_GB2312" w:eastAsia="仿宋_GB2312" w:cs="仿宋_GB2312"/>
                <w:color w:val="000000"/>
              </w:rPr>
              <w:t>落实国家教材管理有关规定，党委（党组织）对教材负总责，建有教材工作委员会、教材管理制度并运行有效。</w:t>
            </w:r>
          </w:p>
          <w:p w14:paraId="1AFAF7B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0" w:lineRule="atLeast"/>
              <w:ind w:left="0" w:right="0"/>
            </w:pPr>
            <w:r>
              <w:rPr>
                <w:rFonts w:hint="default" w:ascii="Times New Roman" w:hAnsi="Times New Roman" w:cs="Times New Roman"/>
                <w:color w:val="000000"/>
              </w:rPr>
              <w:t>18.</w:t>
            </w:r>
            <w:r>
              <w:rPr>
                <w:rFonts w:hint="default" w:ascii="仿宋_GB2312" w:eastAsia="仿宋_GB2312" w:cs="仿宋_GB2312"/>
                <w:color w:val="000000"/>
              </w:rPr>
              <w:t>使用国家统编的思政课程教材、马克思主义理论研究和建设工程重点教材，优先选用国家和省级职业教育优秀教材、规划教材，专业课程主要选用校企合作编写正式出版的教材</w:t>
            </w:r>
          </w:p>
        </w:tc>
      </w:tr>
      <w:tr w14:paraId="1F43E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6" w:hRule="atLeast"/>
          <w:jc w:val="center"/>
        </w:trPr>
        <w:tc>
          <w:tcPr>
            <w:tcW w:w="47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0E41FF3">
            <w:pPr>
              <w:rPr>
                <w:rFonts w:hint="eastAsia" w:ascii="宋体"/>
                <w:sz w:val="24"/>
                <w:szCs w:val="24"/>
              </w:rPr>
            </w:pPr>
          </w:p>
        </w:tc>
        <w:tc>
          <w:tcPr>
            <w:tcW w:w="1020" w:type="dxa"/>
            <w:tcBorders>
              <w:top w:val="nil"/>
              <w:left w:val="nil"/>
              <w:bottom w:val="single" w:color="auto" w:sz="8" w:space="0"/>
              <w:right w:val="single" w:color="auto" w:sz="8" w:space="0"/>
            </w:tcBorders>
            <w:shd w:val="clear" w:color="auto" w:fill="auto"/>
            <w:tcMar>
              <w:left w:w="108" w:type="dxa"/>
              <w:right w:w="108" w:type="dxa"/>
            </w:tcMar>
            <w:vAlign w:val="center"/>
          </w:tcPr>
          <w:p w14:paraId="70EEECE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0" w:lineRule="atLeast"/>
              <w:ind w:left="0" w:right="0"/>
            </w:pPr>
            <w:r>
              <w:rPr>
                <w:rFonts w:hint="default" w:ascii="Times New Roman" w:hAnsi="Times New Roman" w:cs="Times New Roman"/>
                <w:color w:val="000000"/>
              </w:rPr>
              <w:t>3.2</w:t>
            </w:r>
            <w:r>
              <w:rPr>
                <w:rFonts w:hint="default" w:ascii="仿宋_GB2312" w:eastAsia="仿宋_GB2312" w:cs="仿宋_GB2312"/>
                <w:color w:val="000000"/>
              </w:rPr>
              <w:t>教材开发</w:t>
            </w:r>
          </w:p>
        </w:tc>
        <w:tc>
          <w:tcPr>
            <w:tcW w:w="8657" w:type="dxa"/>
            <w:tcBorders>
              <w:top w:val="nil"/>
              <w:left w:val="nil"/>
              <w:bottom w:val="single" w:color="auto" w:sz="8" w:space="0"/>
              <w:right w:val="single" w:color="auto" w:sz="8" w:space="0"/>
            </w:tcBorders>
            <w:shd w:val="clear" w:color="auto" w:fill="auto"/>
            <w:tcMar>
              <w:left w:w="108" w:type="dxa"/>
              <w:right w:w="108" w:type="dxa"/>
            </w:tcMar>
            <w:vAlign w:val="center"/>
          </w:tcPr>
          <w:p w14:paraId="29BB64E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0" w:lineRule="atLeast"/>
              <w:ind w:left="0" w:right="0"/>
            </w:pPr>
            <w:r>
              <w:rPr>
                <w:rFonts w:hint="default" w:ascii="Times New Roman" w:hAnsi="Times New Roman" w:cs="Times New Roman"/>
                <w:color w:val="000000"/>
              </w:rPr>
              <w:t>19.</w:t>
            </w:r>
            <w:r>
              <w:rPr>
                <w:rFonts w:hint="default" w:ascii="仿宋_GB2312" w:eastAsia="仿宋_GB2312" w:cs="仿宋_GB2312"/>
                <w:color w:val="000000"/>
              </w:rPr>
              <w:t>校企联合创作编写教学材料，创新开发活页式、工作手册（说明书）式、融媒体式等新型教材，推进数字教材建设，教材内容符合国家专业教学标准和职业标准（规范）要求，体现课程思政和产业变化</w:t>
            </w:r>
          </w:p>
        </w:tc>
      </w:tr>
      <w:tr w14:paraId="17AE6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71" w:hRule="atLeast"/>
          <w:jc w:val="center"/>
        </w:trPr>
        <w:tc>
          <w:tcPr>
            <w:tcW w:w="47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F64B94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0" w:lineRule="atLeast"/>
              <w:ind w:left="0" w:right="0"/>
            </w:pPr>
            <w:r>
              <w:rPr>
                <w:rFonts w:hint="default" w:ascii="Times New Roman" w:hAnsi="Times New Roman" w:cs="Times New Roman"/>
                <w:color w:val="000000"/>
              </w:rPr>
              <w:t>4.</w:t>
            </w:r>
            <w:r>
              <w:rPr>
                <w:rFonts w:hint="default" w:ascii="仿宋_GB2312" w:eastAsia="仿宋_GB2312" w:cs="仿宋_GB2312"/>
                <w:color w:val="000000"/>
              </w:rPr>
              <w:t>师资</w:t>
            </w:r>
          </w:p>
        </w:tc>
        <w:tc>
          <w:tcPr>
            <w:tcW w:w="1020" w:type="dxa"/>
            <w:tcBorders>
              <w:top w:val="nil"/>
              <w:left w:val="nil"/>
              <w:bottom w:val="single" w:color="auto" w:sz="8" w:space="0"/>
              <w:right w:val="single" w:color="auto" w:sz="8" w:space="0"/>
            </w:tcBorders>
            <w:shd w:val="clear" w:color="auto" w:fill="auto"/>
            <w:tcMar>
              <w:left w:w="108" w:type="dxa"/>
              <w:right w:w="108" w:type="dxa"/>
            </w:tcMar>
            <w:vAlign w:val="center"/>
          </w:tcPr>
          <w:p w14:paraId="69DFC89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0" w:lineRule="atLeast"/>
              <w:ind w:left="0" w:right="0"/>
            </w:pPr>
            <w:r>
              <w:rPr>
                <w:rFonts w:hint="default" w:ascii="Times New Roman" w:hAnsi="Times New Roman" w:cs="Times New Roman"/>
                <w:color w:val="000000"/>
              </w:rPr>
              <w:t>4.1</w:t>
            </w:r>
            <w:r>
              <w:rPr>
                <w:rFonts w:hint="default" w:ascii="仿宋_GB2312" w:eastAsia="仿宋_GB2312" w:cs="仿宋_GB2312"/>
                <w:color w:val="000000"/>
              </w:rPr>
              <w:t>师德师风</w:t>
            </w:r>
          </w:p>
        </w:tc>
        <w:tc>
          <w:tcPr>
            <w:tcW w:w="8657" w:type="dxa"/>
            <w:tcBorders>
              <w:top w:val="nil"/>
              <w:left w:val="nil"/>
              <w:bottom w:val="single" w:color="auto" w:sz="8" w:space="0"/>
              <w:right w:val="single" w:color="auto" w:sz="8" w:space="0"/>
            </w:tcBorders>
            <w:shd w:val="clear" w:color="auto" w:fill="auto"/>
            <w:tcMar>
              <w:left w:w="108" w:type="dxa"/>
              <w:right w:w="108" w:type="dxa"/>
            </w:tcMar>
            <w:vAlign w:val="center"/>
          </w:tcPr>
          <w:p w14:paraId="376786A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0" w:lineRule="atLeast"/>
              <w:ind w:left="0" w:right="0"/>
            </w:pPr>
            <w:r>
              <w:rPr>
                <w:rFonts w:hint="default" w:ascii="Times New Roman" w:hAnsi="Times New Roman" w:cs="Times New Roman"/>
                <w:color w:val="000000"/>
              </w:rPr>
              <w:t>20.</w:t>
            </w:r>
            <w:r>
              <w:rPr>
                <w:rFonts w:hint="default" w:ascii="仿宋_GB2312" w:eastAsia="仿宋_GB2312" w:cs="仿宋_GB2312"/>
                <w:color w:val="000000"/>
              </w:rPr>
              <w:t>践行教育家精神，落实《中共中央</w:t>
            </w:r>
            <w:r>
              <w:rPr>
                <w:rFonts w:hint="default" w:ascii="Times New Roman" w:hAnsi="Times New Roman" w:cs="Times New Roman"/>
                <w:color w:val="000000"/>
              </w:rPr>
              <w:t> </w:t>
            </w:r>
            <w:r>
              <w:rPr>
                <w:rFonts w:hint="default" w:ascii="仿宋_GB2312" w:eastAsia="仿宋_GB2312" w:cs="仿宋_GB2312"/>
                <w:color w:val="000000"/>
              </w:rPr>
              <w:t>国务院关于弘扬教育家精神加强新时代高素质专业化教师队伍建设的意见》《关于健全新时代师德师风建设长效机制的意见》，坚持师德师风第一标准，涵养高尚师德师风，健全师德教育、典型引领、教师准入、日常监管、考核评价、监督指导、举报核处、责任追究、权益保障、责任落实等</w:t>
            </w:r>
            <w:r>
              <w:rPr>
                <w:rFonts w:hint="default" w:ascii="Times New Roman" w:hAnsi="Times New Roman" w:cs="Times New Roman"/>
                <w:color w:val="000000"/>
              </w:rPr>
              <w:t>10</w:t>
            </w:r>
            <w:r>
              <w:rPr>
                <w:rFonts w:hint="default" w:ascii="仿宋_GB2312" w:eastAsia="仿宋_GB2312" w:cs="仿宋_GB2312"/>
                <w:color w:val="000000"/>
              </w:rPr>
              <w:t>项机制，对师德违规</w:t>
            </w:r>
            <w:r>
              <w:rPr>
                <w:rFonts w:hint="default" w:ascii="Times New Roman" w:hAnsi="Times New Roman" w:cs="Times New Roman"/>
                <w:color w:val="000000"/>
              </w:rPr>
              <w:t>“</w:t>
            </w:r>
            <w:r>
              <w:rPr>
                <w:rFonts w:hint="default" w:ascii="仿宋_GB2312" w:eastAsia="仿宋_GB2312" w:cs="仿宋_GB2312"/>
                <w:color w:val="000000"/>
              </w:rPr>
              <w:t>零容忍</w:t>
            </w:r>
            <w:r>
              <w:rPr>
                <w:rFonts w:hint="default" w:ascii="Times New Roman" w:hAnsi="Times New Roman" w:cs="Times New Roman"/>
                <w:color w:val="000000"/>
              </w:rPr>
              <w:t>”</w:t>
            </w:r>
          </w:p>
        </w:tc>
      </w:tr>
      <w:tr w14:paraId="0E01F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6" w:hRule="atLeast"/>
          <w:jc w:val="center"/>
        </w:trPr>
        <w:tc>
          <w:tcPr>
            <w:tcW w:w="47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F0BAA76">
            <w:pPr>
              <w:rPr>
                <w:rFonts w:hint="eastAsia" w:ascii="宋体"/>
                <w:sz w:val="24"/>
                <w:szCs w:val="24"/>
              </w:rPr>
            </w:pPr>
          </w:p>
        </w:tc>
        <w:tc>
          <w:tcPr>
            <w:tcW w:w="1020" w:type="dxa"/>
            <w:tcBorders>
              <w:top w:val="nil"/>
              <w:left w:val="nil"/>
              <w:bottom w:val="single" w:color="auto" w:sz="8" w:space="0"/>
              <w:right w:val="single" w:color="auto" w:sz="8" w:space="0"/>
            </w:tcBorders>
            <w:shd w:val="clear" w:color="auto" w:fill="auto"/>
            <w:tcMar>
              <w:left w:w="108" w:type="dxa"/>
              <w:right w:w="108" w:type="dxa"/>
            </w:tcMar>
            <w:vAlign w:val="center"/>
          </w:tcPr>
          <w:p w14:paraId="3C3384C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0" w:lineRule="atLeast"/>
              <w:ind w:left="0" w:right="0"/>
            </w:pPr>
            <w:r>
              <w:rPr>
                <w:rFonts w:hint="default" w:ascii="Times New Roman" w:hAnsi="Times New Roman" w:cs="Times New Roman"/>
                <w:color w:val="000000"/>
              </w:rPr>
              <w:t>4.2</w:t>
            </w:r>
            <w:r>
              <w:rPr>
                <w:rFonts w:hint="default" w:ascii="仿宋_GB2312" w:eastAsia="仿宋_GB2312" w:cs="仿宋_GB2312"/>
                <w:color w:val="000000"/>
              </w:rPr>
              <w:t>思政课教师与辅导员队伍</w:t>
            </w:r>
          </w:p>
        </w:tc>
        <w:tc>
          <w:tcPr>
            <w:tcW w:w="8657" w:type="dxa"/>
            <w:tcBorders>
              <w:top w:val="nil"/>
              <w:left w:val="nil"/>
              <w:bottom w:val="single" w:color="auto" w:sz="8" w:space="0"/>
              <w:right w:val="single" w:color="auto" w:sz="8" w:space="0"/>
            </w:tcBorders>
            <w:shd w:val="clear" w:color="auto" w:fill="auto"/>
            <w:tcMar>
              <w:left w:w="108" w:type="dxa"/>
              <w:right w:w="108" w:type="dxa"/>
            </w:tcMar>
            <w:vAlign w:val="center"/>
          </w:tcPr>
          <w:p w14:paraId="6FBA6D9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0" w:lineRule="atLeast"/>
              <w:ind w:left="0" w:right="0"/>
            </w:pPr>
            <w:r>
              <w:rPr>
                <w:rFonts w:hint="default" w:ascii="Times New Roman" w:hAnsi="Times New Roman" w:cs="Times New Roman"/>
                <w:color w:val="000000"/>
              </w:rPr>
              <w:t>21.</w:t>
            </w:r>
            <w:r>
              <w:rPr>
                <w:rFonts w:hint="default" w:ascii="仿宋_GB2312" w:eastAsia="仿宋_GB2312" w:cs="仿宋_GB2312"/>
                <w:color w:val="000000"/>
              </w:rPr>
              <w:t>专职思政课教师与全日制在校生比例不低于</w:t>
            </w:r>
            <w:r>
              <w:rPr>
                <w:rFonts w:hint="default" w:ascii="Times New Roman" w:hAnsi="Times New Roman" w:cs="Times New Roman"/>
                <w:color w:val="000000"/>
              </w:rPr>
              <w:t>1:350</w:t>
            </w:r>
            <w:r>
              <w:rPr>
                <w:rFonts w:hint="default" w:ascii="Times New Roman" w:hAnsi="Times New Roman" w:cs="Times New Roman"/>
                <w:color w:val="000000"/>
                <w:vertAlign w:val="superscript"/>
              </w:rPr>
              <w:t>6</w:t>
            </w:r>
            <w:r>
              <w:rPr>
                <w:rFonts w:hint="default" w:ascii="仿宋_GB2312" w:eastAsia="仿宋_GB2312" w:cs="仿宋_GB2312"/>
                <w:color w:val="000000"/>
              </w:rPr>
              <w:t>，专职辅导员岗位与全日制在校生比例不低于</w:t>
            </w:r>
            <w:r>
              <w:rPr>
                <w:rFonts w:hint="default" w:ascii="Times New Roman" w:hAnsi="Times New Roman" w:cs="Times New Roman"/>
                <w:color w:val="000000"/>
              </w:rPr>
              <w:t>1:200</w:t>
            </w:r>
            <w:r>
              <w:rPr>
                <w:rFonts w:hint="default" w:ascii="Times New Roman" w:hAnsi="Times New Roman" w:cs="Times New Roman"/>
                <w:color w:val="000000"/>
                <w:vertAlign w:val="superscript"/>
              </w:rPr>
              <w:t>7</w:t>
            </w:r>
            <w:r>
              <w:rPr>
                <w:rFonts w:hint="default" w:ascii="仿宋_GB2312" w:eastAsia="仿宋_GB2312" w:cs="仿宋_GB2312"/>
                <w:color w:val="000000"/>
              </w:rPr>
              <w:t>，专职心理健康教育教师与全日制在校生比例不低于</w:t>
            </w:r>
            <w:r>
              <w:rPr>
                <w:rFonts w:hint="default" w:ascii="Times New Roman" w:hAnsi="Times New Roman" w:cs="Times New Roman"/>
                <w:color w:val="000000"/>
              </w:rPr>
              <w:t>1:4000</w:t>
            </w:r>
            <w:r>
              <w:rPr>
                <w:rFonts w:hint="default" w:ascii="仿宋_GB2312" w:eastAsia="仿宋_GB2312" w:cs="仿宋_GB2312"/>
                <w:color w:val="000000"/>
              </w:rPr>
              <w:t>，且至少配备</w:t>
            </w:r>
            <w:r>
              <w:rPr>
                <w:rFonts w:hint="default" w:ascii="Times New Roman" w:hAnsi="Times New Roman" w:cs="Times New Roman"/>
                <w:color w:val="000000"/>
              </w:rPr>
              <w:t>2</w:t>
            </w:r>
            <w:r>
              <w:rPr>
                <w:rFonts w:hint="default" w:ascii="仿宋_GB2312" w:eastAsia="仿宋_GB2312" w:cs="仿宋_GB2312"/>
                <w:color w:val="000000"/>
                <w:spacing w:val="-23"/>
              </w:rPr>
              <w:t>名</w:t>
            </w:r>
            <w:r>
              <w:rPr>
                <w:rFonts w:hint="default" w:ascii="Times New Roman" w:hAnsi="Times New Roman" w:cs="Times New Roman"/>
                <w:color w:val="000000"/>
                <w:vertAlign w:val="superscript"/>
              </w:rPr>
              <w:t>8</w:t>
            </w:r>
            <w:r>
              <w:rPr>
                <w:rFonts w:hint="default" w:ascii="仿宋_GB2312" w:eastAsia="仿宋_GB2312" w:cs="仿宋_GB2312"/>
                <w:color w:val="000000"/>
              </w:rPr>
              <w:t>；思政课教师与辅导员深入参与</w:t>
            </w:r>
            <w:r>
              <w:rPr>
                <w:rFonts w:hint="default" w:ascii="Times New Roman" w:hAnsi="Times New Roman" w:cs="Times New Roman"/>
                <w:color w:val="000000"/>
              </w:rPr>
              <w:t>“</w:t>
            </w:r>
            <w:r>
              <w:rPr>
                <w:rFonts w:hint="default" w:ascii="仿宋_GB2312" w:eastAsia="仿宋_GB2312" w:cs="仿宋_GB2312"/>
                <w:color w:val="000000"/>
              </w:rPr>
              <w:t>一站式</w:t>
            </w:r>
            <w:r>
              <w:rPr>
                <w:rFonts w:hint="default" w:ascii="Times New Roman" w:hAnsi="Times New Roman" w:cs="Times New Roman"/>
                <w:color w:val="000000"/>
              </w:rPr>
              <w:t>”</w:t>
            </w:r>
            <w:r>
              <w:rPr>
                <w:rFonts w:hint="default" w:ascii="仿宋_GB2312" w:eastAsia="仿宋_GB2312" w:cs="仿宋_GB2312"/>
                <w:color w:val="000000"/>
              </w:rPr>
              <w:t>学生社区建设与运行</w:t>
            </w:r>
          </w:p>
        </w:tc>
      </w:tr>
      <w:tr w14:paraId="07A95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1" w:hRule="atLeast"/>
          <w:jc w:val="center"/>
        </w:trPr>
        <w:tc>
          <w:tcPr>
            <w:tcW w:w="47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D791DAC">
            <w:pPr>
              <w:rPr>
                <w:rFonts w:hint="eastAsia" w:ascii="宋体"/>
                <w:sz w:val="24"/>
                <w:szCs w:val="24"/>
              </w:rPr>
            </w:pPr>
          </w:p>
        </w:tc>
        <w:tc>
          <w:tcPr>
            <w:tcW w:w="1020" w:type="dxa"/>
            <w:tcBorders>
              <w:top w:val="nil"/>
              <w:left w:val="nil"/>
              <w:bottom w:val="single" w:color="auto" w:sz="8" w:space="0"/>
              <w:right w:val="single" w:color="auto" w:sz="8" w:space="0"/>
            </w:tcBorders>
            <w:shd w:val="clear" w:color="auto" w:fill="auto"/>
            <w:tcMar>
              <w:left w:w="108" w:type="dxa"/>
              <w:right w:w="108" w:type="dxa"/>
            </w:tcMar>
            <w:vAlign w:val="center"/>
          </w:tcPr>
          <w:p w14:paraId="615A5B5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0" w:lineRule="atLeast"/>
              <w:ind w:left="0" w:right="0"/>
            </w:pPr>
            <w:r>
              <w:rPr>
                <w:rFonts w:hint="default" w:ascii="Times New Roman" w:hAnsi="Times New Roman" w:cs="Times New Roman"/>
                <w:color w:val="000000"/>
              </w:rPr>
              <w:t>4.3</w:t>
            </w:r>
            <w:r>
              <w:rPr>
                <w:rFonts w:hint="default" w:ascii="仿宋_GB2312" w:eastAsia="仿宋_GB2312" w:cs="仿宋_GB2312"/>
                <w:color w:val="000000"/>
              </w:rPr>
              <w:t>数量结构</w:t>
            </w:r>
          </w:p>
        </w:tc>
        <w:tc>
          <w:tcPr>
            <w:tcW w:w="8657" w:type="dxa"/>
            <w:tcBorders>
              <w:top w:val="nil"/>
              <w:left w:val="nil"/>
              <w:bottom w:val="single" w:color="auto" w:sz="8" w:space="0"/>
              <w:right w:val="single" w:color="auto" w:sz="8" w:space="0"/>
            </w:tcBorders>
            <w:shd w:val="clear" w:color="auto" w:fill="auto"/>
            <w:tcMar>
              <w:left w:w="108" w:type="dxa"/>
              <w:right w:w="108" w:type="dxa"/>
            </w:tcMar>
            <w:vAlign w:val="center"/>
          </w:tcPr>
          <w:p w14:paraId="3AD63A2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0" w:lineRule="atLeast"/>
              <w:ind w:left="0" w:right="0"/>
            </w:pPr>
            <w:r>
              <w:rPr>
                <w:rFonts w:hint="default" w:ascii="Times New Roman" w:hAnsi="Times New Roman" w:cs="Times New Roman"/>
                <w:color w:val="000000"/>
              </w:rPr>
              <w:t>22.</w:t>
            </w:r>
            <w:r>
              <w:rPr>
                <w:rFonts w:hint="default" w:ascii="仿宋_GB2312" w:eastAsia="仿宋_GB2312" w:cs="仿宋_GB2312"/>
                <w:color w:val="000000"/>
              </w:rPr>
              <w:t>符合《职业学校办学条件重点监测指标》要求；师生比不低于</w:t>
            </w:r>
            <w:r>
              <w:rPr>
                <w:rFonts w:hint="default" w:ascii="Times New Roman" w:hAnsi="Times New Roman" w:cs="Times New Roman"/>
                <w:color w:val="000000"/>
              </w:rPr>
              <w:t>1:18</w:t>
            </w:r>
            <w:r>
              <w:rPr>
                <w:rFonts w:hint="default" w:ascii="Times New Roman" w:hAnsi="Times New Roman" w:cs="Times New Roman"/>
                <w:color w:val="000000"/>
                <w:vertAlign w:val="superscript"/>
              </w:rPr>
              <w:t>9</w:t>
            </w:r>
            <w:r>
              <w:rPr>
                <w:rFonts w:hint="default" w:ascii="仿宋_GB2312" w:eastAsia="仿宋_GB2312" w:cs="仿宋_GB2312"/>
                <w:color w:val="000000"/>
              </w:rPr>
              <w:t>，</w:t>
            </w:r>
            <w:r>
              <w:rPr>
                <w:rFonts w:hint="default" w:ascii="Times New Roman" w:hAnsi="Times New Roman" w:cs="Times New Roman"/>
                <w:color w:val="000000"/>
              </w:rPr>
              <w:t>“</w:t>
            </w:r>
            <w:r>
              <w:rPr>
                <w:rFonts w:hint="default" w:ascii="仿宋_GB2312" w:eastAsia="仿宋_GB2312" w:cs="仿宋_GB2312"/>
                <w:color w:val="000000"/>
              </w:rPr>
              <w:t>双师型</w:t>
            </w:r>
            <w:r>
              <w:rPr>
                <w:rFonts w:hint="default" w:ascii="Times New Roman" w:hAnsi="Times New Roman" w:cs="Times New Roman"/>
                <w:color w:val="000000"/>
              </w:rPr>
              <w:t>”</w:t>
            </w:r>
            <w:r>
              <w:rPr>
                <w:rFonts w:hint="default" w:ascii="仿宋_GB2312" w:eastAsia="仿宋_GB2312" w:cs="仿宋_GB2312"/>
                <w:color w:val="000000"/>
              </w:rPr>
              <w:t>教师数量占专业课教师总数的比例达到</w:t>
            </w:r>
            <w:r>
              <w:rPr>
                <w:rFonts w:hint="default" w:ascii="Times New Roman" w:hAnsi="Times New Roman" w:cs="Times New Roman"/>
                <w:color w:val="000000"/>
              </w:rPr>
              <w:t>50%</w:t>
            </w:r>
            <w:r>
              <w:rPr>
                <w:rFonts w:hint="default" w:ascii="Times New Roman" w:hAnsi="Times New Roman" w:cs="Times New Roman"/>
                <w:color w:val="000000"/>
                <w:vertAlign w:val="superscript"/>
              </w:rPr>
              <w:t>10</w:t>
            </w:r>
            <w:r>
              <w:rPr>
                <w:rFonts w:hint="default" w:ascii="仿宋_GB2312" w:eastAsia="仿宋_GB2312" w:cs="仿宋_GB2312"/>
                <w:color w:val="000000"/>
              </w:rPr>
              <w:t>以上，来自行业企业一线的兼职教师占专兼职教师总数的比例不超过</w:t>
            </w:r>
            <w:r>
              <w:rPr>
                <w:rFonts w:hint="default" w:ascii="Times New Roman" w:hAnsi="Times New Roman" w:cs="Times New Roman"/>
                <w:color w:val="000000"/>
              </w:rPr>
              <w:t>30%</w:t>
            </w:r>
            <w:r>
              <w:rPr>
                <w:rFonts w:hint="default" w:ascii="Times New Roman" w:hAnsi="Times New Roman" w:cs="Times New Roman"/>
                <w:color w:val="000000"/>
                <w:vertAlign w:val="superscript"/>
              </w:rPr>
              <w:t>11</w:t>
            </w:r>
            <w:r>
              <w:rPr>
                <w:rFonts w:hint="default" w:ascii="仿宋_GB2312" w:eastAsia="仿宋_GB2312" w:cs="仿宋_GB2312"/>
                <w:color w:val="000000"/>
              </w:rPr>
              <w:t>，有校企混编</w:t>
            </w:r>
            <w:r>
              <w:rPr>
                <w:rFonts w:hint="default" w:ascii="Times New Roman" w:hAnsi="Times New Roman" w:cs="Times New Roman"/>
                <w:color w:val="000000"/>
              </w:rPr>
              <w:t>“</w:t>
            </w:r>
            <w:r>
              <w:rPr>
                <w:rFonts w:hint="default" w:ascii="仿宋_GB2312" w:eastAsia="仿宋_GB2312" w:cs="仿宋_GB2312"/>
                <w:color w:val="000000"/>
              </w:rPr>
              <w:t>双师</w:t>
            </w:r>
            <w:r>
              <w:rPr>
                <w:rFonts w:hint="default" w:ascii="Times New Roman" w:hAnsi="Times New Roman" w:cs="Times New Roman"/>
                <w:color w:val="000000"/>
              </w:rPr>
              <w:t>”</w:t>
            </w:r>
            <w:r>
              <w:rPr>
                <w:rFonts w:hint="default" w:ascii="仿宋_GB2312" w:eastAsia="仿宋_GB2312" w:cs="仿宋_GB2312"/>
                <w:color w:val="000000"/>
              </w:rPr>
              <w:t>结构教师团队</w:t>
            </w:r>
          </w:p>
        </w:tc>
      </w:tr>
      <w:tr w14:paraId="053A7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95" w:hRule="atLeast"/>
          <w:jc w:val="center"/>
        </w:trPr>
        <w:tc>
          <w:tcPr>
            <w:tcW w:w="47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791294F">
            <w:pPr>
              <w:rPr>
                <w:rFonts w:hint="eastAsia" w:ascii="宋体"/>
                <w:sz w:val="24"/>
                <w:szCs w:val="24"/>
              </w:rPr>
            </w:pPr>
          </w:p>
        </w:tc>
        <w:tc>
          <w:tcPr>
            <w:tcW w:w="1020" w:type="dxa"/>
            <w:tcBorders>
              <w:top w:val="nil"/>
              <w:left w:val="nil"/>
              <w:bottom w:val="single" w:color="auto" w:sz="8" w:space="0"/>
              <w:right w:val="single" w:color="auto" w:sz="8" w:space="0"/>
            </w:tcBorders>
            <w:shd w:val="clear" w:color="auto" w:fill="auto"/>
            <w:tcMar>
              <w:left w:w="108" w:type="dxa"/>
              <w:right w:w="108" w:type="dxa"/>
            </w:tcMar>
            <w:vAlign w:val="center"/>
          </w:tcPr>
          <w:p w14:paraId="5F540F2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0" w:lineRule="atLeast"/>
              <w:ind w:left="0" w:right="0"/>
            </w:pPr>
            <w:r>
              <w:rPr>
                <w:rFonts w:hint="default" w:ascii="Times New Roman" w:hAnsi="Times New Roman" w:cs="Times New Roman"/>
                <w:color w:val="000000"/>
              </w:rPr>
              <w:t>4.4</w:t>
            </w:r>
            <w:r>
              <w:rPr>
                <w:rFonts w:hint="default" w:ascii="仿宋_GB2312" w:eastAsia="仿宋_GB2312" w:cs="仿宋_GB2312"/>
                <w:color w:val="000000"/>
              </w:rPr>
              <w:t>职业能力</w:t>
            </w:r>
          </w:p>
        </w:tc>
        <w:tc>
          <w:tcPr>
            <w:tcW w:w="8657" w:type="dxa"/>
            <w:tcBorders>
              <w:top w:val="nil"/>
              <w:left w:val="nil"/>
              <w:bottom w:val="single" w:color="auto" w:sz="8" w:space="0"/>
              <w:right w:val="single" w:color="auto" w:sz="8" w:space="0"/>
            </w:tcBorders>
            <w:shd w:val="clear" w:color="auto" w:fill="auto"/>
            <w:tcMar>
              <w:left w:w="108" w:type="dxa"/>
              <w:right w:w="108" w:type="dxa"/>
            </w:tcMar>
            <w:vAlign w:val="center"/>
          </w:tcPr>
          <w:p w14:paraId="7D679AC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0" w:lineRule="atLeast"/>
              <w:ind w:left="0" w:right="0"/>
            </w:pPr>
            <w:r>
              <w:rPr>
                <w:rFonts w:hint="default" w:ascii="Times New Roman" w:hAnsi="Times New Roman" w:cs="Times New Roman"/>
                <w:color w:val="000000"/>
              </w:rPr>
              <w:t>23.</w:t>
            </w:r>
            <w:r>
              <w:rPr>
                <w:rFonts w:hint="default" w:ascii="仿宋_GB2312" w:eastAsia="仿宋_GB2312" w:cs="仿宋_GB2312"/>
                <w:color w:val="000000"/>
              </w:rPr>
              <w:t>专业带头人定期到企业工作、挂职锻炼或开展项目合作；专业课教师每年至少累计</w:t>
            </w:r>
            <w:r>
              <w:rPr>
                <w:rFonts w:hint="default" w:ascii="Times New Roman" w:hAnsi="Times New Roman" w:cs="Times New Roman"/>
                <w:color w:val="000000"/>
              </w:rPr>
              <w:t>1</w:t>
            </w:r>
            <w:r>
              <w:rPr>
                <w:rFonts w:hint="default" w:ascii="仿宋_GB2312" w:eastAsia="仿宋_GB2312" w:cs="仿宋_GB2312"/>
                <w:color w:val="000000"/>
              </w:rPr>
              <w:t>个月</w:t>
            </w:r>
            <w:r>
              <w:rPr>
                <w:rFonts w:hint="default" w:ascii="Times New Roman" w:hAnsi="Times New Roman" w:cs="Times New Roman"/>
                <w:color w:val="000000"/>
                <w:vertAlign w:val="superscript"/>
              </w:rPr>
              <w:t>12</w:t>
            </w:r>
            <w:r>
              <w:rPr>
                <w:rFonts w:hint="default" w:ascii="仿宋_GB2312" w:eastAsia="仿宋_GB2312" w:cs="仿宋_GB2312"/>
                <w:color w:val="000000"/>
              </w:rPr>
              <w:t>在企业实践或实训基地实训；主要专业（群）新进的专业课教师（含实习指导教师）应当具有一定年限的相应工作经历或者实践经验，达到相应的技术技能水平。</w:t>
            </w:r>
          </w:p>
          <w:p w14:paraId="33A3140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0" w:lineRule="atLeast"/>
              <w:ind w:left="0" w:right="0"/>
            </w:pPr>
            <w:r>
              <w:rPr>
                <w:rFonts w:hint="default" w:ascii="Times New Roman" w:hAnsi="Times New Roman" w:cs="Times New Roman"/>
                <w:color w:val="000000"/>
              </w:rPr>
              <w:t>24.</w:t>
            </w:r>
            <w:r>
              <w:rPr>
                <w:rFonts w:hint="default" w:ascii="仿宋_GB2312" w:eastAsia="仿宋_GB2312" w:cs="仿宋_GB2312"/>
                <w:color w:val="000000"/>
              </w:rPr>
              <w:t>细化教师专业核心能力点，针对性提升教师能力；专任教师数字素养适应教师专业发展数字化要求</w:t>
            </w:r>
          </w:p>
        </w:tc>
      </w:tr>
      <w:tr w14:paraId="78CB73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39" w:hRule="atLeast"/>
          <w:jc w:val="center"/>
        </w:trPr>
        <w:tc>
          <w:tcPr>
            <w:tcW w:w="47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D1116F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0" w:lineRule="atLeast"/>
              <w:ind w:left="0" w:right="0"/>
            </w:pPr>
            <w:r>
              <w:rPr>
                <w:rFonts w:hint="default" w:ascii="Times New Roman" w:hAnsi="Times New Roman" w:cs="Times New Roman"/>
                <w:color w:val="000000"/>
              </w:rPr>
              <w:t>5.</w:t>
            </w:r>
            <w:r>
              <w:rPr>
                <w:rFonts w:hint="default" w:ascii="仿宋_GB2312" w:eastAsia="仿宋_GB2312" w:cs="仿宋_GB2312"/>
                <w:color w:val="000000"/>
              </w:rPr>
              <w:t>实训实习</w:t>
            </w:r>
          </w:p>
        </w:tc>
        <w:tc>
          <w:tcPr>
            <w:tcW w:w="1020" w:type="dxa"/>
            <w:tcBorders>
              <w:top w:val="nil"/>
              <w:left w:val="nil"/>
              <w:bottom w:val="single" w:color="auto" w:sz="8" w:space="0"/>
              <w:right w:val="single" w:color="auto" w:sz="8" w:space="0"/>
            </w:tcBorders>
            <w:shd w:val="clear" w:color="auto" w:fill="auto"/>
            <w:tcMar>
              <w:left w:w="108" w:type="dxa"/>
              <w:right w:w="108" w:type="dxa"/>
            </w:tcMar>
            <w:vAlign w:val="center"/>
          </w:tcPr>
          <w:p w14:paraId="5FEECC9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0" w:lineRule="atLeast"/>
              <w:ind w:left="0" w:right="0"/>
            </w:pPr>
            <w:r>
              <w:rPr>
                <w:rFonts w:hint="default" w:ascii="Times New Roman" w:hAnsi="Times New Roman" w:cs="Times New Roman"/>
                <w:color w:val="000000"/>
              </w:rPr>
              <w:t>5.1</w:t>
            </w:r>
            <w:r>
              <w:rPr>
                <w:rFonts w:hint="default" w:ascii="仿宋_GB2312" w:eastAsia="仿宋_GB2312" w:cs="仿宋_GB2312"/>
                <w:color w:val="000000"/>
              </w:rPr>
              <w:t>实训条件</w:t>
            </w:r>
          </w:p>
        </w:tc>
        <w:tc>
          <w:tcPr>
            <w:tcW w:w="8657" w:type="dxa"/>
            <w:tcBorders>
              <w:top w:val="nil"/>
              <w:left w:val="nil"/>
              <w:bottom w:val="single" w:color="auto" w:sz="8" w:space="0"/>
              <w:right w:val="single" w:color="auto" w:sz="8" w:space="0"/>
            </w:tcBorders>
            <w:shd w:val="clear" w:color="auto" w:fill="auto"/>
            <w:tcMar>
              <w:left w:w="108" w:type="dxa"/>
              <w:right w:w="108" w:type="dxa"/>
            </w:tcMar>
            <w:vAlign w:val="center"/>
          </w:tcPr>
          <w:p w14:paraId="2F6DC7F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0" w:lineRule="atLeast"/>
              <w:ind w:left="0" w:right="0"/>
              <w:textAlignment w:val="center"/>
            </w:pPr>
            <w:r>
              <w:rPr>
                <w:rFonts w:hint="default" w:ascii="Times New Roman" w:hAnsi="Times New Roman" w:cs="Times New Roman"/>
                <w:color w:val="000000"/>
              </w:rPr>
              <w:t>25.</w:t>
            </w:r>
            <w:r>
              <w:rPr>
                <w:rFonts w:hint="default" w:ascii="仿宋_GB2312" w:eastAsia="仿宋_GB2312" w:cs="仿宋_GB2312"/>
                <w:color w:val="000000"/>
              </w:rPr>
              <w:t>校内实训设备、实训工位满足实践教学要求，实训经费有保障；主要专业（群）建有基于企业真实生产环境和标准的实训基地；设施设备管理规范，利用率高。</w:t>
            </w:r>
          </w:p>
          <w:p w14:paraId="2143FA5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0" w:lineRule="atLeast"/>
              <w:ind w:left="0" w:right="0"/>
              <w:textAlignment w:val="center"/>
            </w:pPr>
            <w:r>
              <w:rPr>
                <w:rFonts w:hint="default" w:ascii="Times New Roman" w:hAnsi="Times New Roman" w:cs="Times New Roman"/>
                <w:color w:val="000000"/>
              </w:rPr>
              <w:t>26.</w:t>
            </w:r>
            <w:r>
              <w:rPr>
                <w:rFonts w:hint="default" w:ascii="仿宋_GB2312" w:eastAsia="仿宋_GB2312" w:cs="仿宋_GB2312"/>
                <w:color w:val="000000"/>
              </w:rPr>
              <w:t>建有相对稳定、满足教学需求的校外实训基地且有效使用，能够体现企业真实生产场景，建立动态更新机制</w:t>
            </w:r>
          </w:p>
        </w:tc>
      </w:tr>
      <w:tr w14:paraId="3F85C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6" w:hRule="atLeast"/>
          <w:jc w:val="center"/>
        </w:trPr>
        <w:tc>
          <w:tcPr>
            <w:tcW w:w="47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AB53ED6">
            <w:pPr>
              <w:rPr>
                <w:rFonts w:hint="eastAsia" w:ascii="宋体"/>
                <w:sz w:val="24"/>
                <w:szCs w:val="24"/>
              </w:rPr>
            </w:pPr>
          </w:p>
        </w:tc>
        <w:tc>
          <w:tcPr>
            <w:tcW w:w="1020" w:type="dxa"/>
            <w:tcBorders>
              <w:top w:val="nil"/>
              <w:left w:val="nil"/>
              <w:bottom w:val="single" w:color="auto" w:sz="8" w:space="0"/>
              <w:right w:val="single" w:color="auto" w:sz="8" w:space="0"/>
            </w:tcBorders>
            <w:shd w:val="clear" w:color="auto" w:fill="auto"/>
            <w:tcMar>
              <w:left w:w="108" w:type="dxa"/>
              <w:right w:w="108" w:type="dxa"/>
            </w:tcMar>
            <w:vAlign w:val="center"/>
          </w:tcPr>
          <w:p w14:paraId="5306B59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0" w:lineRule="atLeast"/>
              <w:ind w:left="0" w:right="0"/>
            </w:pPr>
            <w:r>
              <w:rPr>
                <w:rFonts w:hint="default" w:ascii="Times New Roman" w:hAnsi="Times New Roman" w:cs="Times New Roman"/>
                <w:color w:val="000000"/>
              </w:rPr>
              <w:t>5.2</w:t>
            </w:r>
            <w:r>
              <w:rPr>
                <w:rFonts w:hint="default" w:ascii="仿宋_GB2312" w:eastAsia="仿宋_GB2312" w:cs="仿宋_GB2312"/>
                <w:color w:val="000000"/>
              </w:rPr>
              <w:t>岗位实习</w:t>
            </w:r>
          </w:p>
        </w:tc>
        <w:tc>
          <w:tcPr>
            <w:tcW w:w="8657" w:type="dxa"/>
            <w:tcBorders>
              <w:top w:val="nil"/>
              <w:left w:val="nil"/>
              <w:bottom w:val="single" w:color="auto" w:sz="8" w:space="0"/>
              <w:right w:val="single" w:color="auto" w:sz="8" w:space="0"/>
            </w:tcBorders>
            <w:shd w:val="clear" w:color="auto" w:fill="auto"/>
            <w:tcMar>
              <w:left w:w="108" w:type="dxa"/>
              <w:right w:w="108" w:type="dxa"/>
            </w:tcMar>
            <w:vAlign w:val="center"/>
          </w:tcPr>
          <w:p w14:paraId="156F0E0B">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0" w:lineRule="atLeast"/>
              <w:ind w:left="0" w:right="0"/>
            </w:pPr>
            <w:r>
              <w:rPr>
                <w:rFonts w:hint="default" w:ascii="Times New Roman" w:hAnsi="Times New Roman" w:cs="Times New Roman"/>
                <w:color w:val="000000"/>
              </w:rPr>
              <w:t>27.</w:t>
            </w:r>
            <w:r>
              <w:rPr>
                <w:rFonts w:hint="default" w:ascii="仿宋_GB2312" w:eastAsia="仿宋_GB2312" w:cs="仿宋_GB2312"/>
                <w:color w:val="000000"/>
              </w:rPr>
              <w:t>实习岗位、实习内容符合职业能力培养要求，将劳动教育、社会实践纳入实习内容。</w:t>
            </w:r>
          </w:p>
          <w:p w14:paraId="34D7214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0" w:lineRule="atLeast"/>
              <w:ind w:left="0" w:right="0"/>
            </w:pPr>
            <w:r>
              <w:rPr>
                <w:rFonts w:hint="default" w:ascii="Times New Roman" w:hAnsi="Times New Roman" w:cs="Times New Roman"/>
                <w:color w:val="000000"/>
              </w:rPr>
              <w:t>28.</w:t>
            </w:r>
            <w:r>
              <w:rPr>
                <w:rFonts w:hint="default" w:ascii="仿宋_GB2312" w:eastAsia="仿宋_GB2312" w:cs="仿宋_GB2312"/>
                <w:color w:val="000000"/>
              </w:rPr>
              <w:t>严格执行《职业学校学生实习管理规定》，依法依规保障学生权益</w:t>
            </w:r>
          </w:p>
        </w:tc>
      </w:tr>
      <w:tr w14:paraId="7907B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74" w:hRule="atLeast"/>
          <w:jc w:val="center"/>
        </w:trPr>
        <w:tc>
          <w:tcPr>
            <w:tcW w:w="47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1EA1A9A">
            <w:pPr>
              <w:rPr>
                <w:rFonts w:hint="eastAsia" w:ascii="宋体"/>
                <w:sz w:val="24"/>
                <w:szCs w:val="24"/>
              </w:rPr>
            </w:pPr>
          </w:p>
        </w:tc>
        <w:tc>
          <w:tcPr>
            <w:tcW w:w="1020" w:type="dxa"/>
            <w:tcBorders>
              <w:top w:val="nil"/>
              <w:left w:val="nil"/>
              <w:bottom w:val="single" w:color="auto" w:sz="8" w:space="0"/>
              <w:right w:val="single" w:color="auto" w:sz="8" w:space="0"/>
            </w:tcBorders>
            <w:shd w:val="clear" w:color="auto" w:fill="auto"/>
            <w:tcMar>
              <w:left w:w="108" w:type="dxa"/>
              <w:right w:w="108" w:type="dxa"/>
            </w:tcMar>
            <w:vAlign w:val="center"/>
          </w:tcPr>
          <w:p w14:paraId="6736C70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0" w:lineRule="atLeast"/>
              <w:ind w:left="0" w:right="0"/>
            </w:pPr>
            <w:r>
              <w:rPr>
                <w:rFonts w:hint="default" w:ascii="Times New Roman" w:hAnsi="Times New Roman" w:cs="Times New Roman"/>
                <w:color w:val="000000"/>
              </w:rPr>
              <w:t>5.3</w:t>
            </w:r>
            <w:r>
              <w:rPr>
                <w:rFonts w:hint="default" w:ascii="仿宋_GB2312" w:eastAsia="仿宋_GB2312" w:cs="仿宋_GB2312"/>
                <w:color w:val="000000"/>
              </w:rPr>
              <w:t>安全教育</w:t>
            </w:r>
          </w:p>
        </w:tc>
        <w:tc>
          <w:tcPr>
            <w:tcW w:w="8657" w:type="dxa"/>
            <w:tcBorders>
              <w:top w:val="nil"/>
              <w:left w:val="nil"/>
              <w:bottom w:val="single" w:color="auto" w:sz="8" w:space="0"/>
              <w:right w:val="single" w:color="auto" w:sz="8" w:space="0"/>
            </w:tcBorders>
            <w:shd w:val="clear" w:color="auto" w:fill="auto"/>
            <w:tcMar>
              <w:left w:w="108" w:type="dxa"/>
              <w:right w:w="108" w:type="dxa"/>
            </w:tcMar>
            <w:vAlign w:val="center"/>
          </w:tcPr>
          <w:p w14:paraId="2034677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0" w:lineRule="atLeast"/>
              <w:ind w:left="0" w:right="0"/>
            </w:pPr>
            <w:r>
              <w:rPr>
                <w:rFonts w:hint="default" w:ascii="Times New Roman" w:hAnsi="Times New Roman" w:cs="Times New Roman"/>
                <w:color w:val="000000"/>
              </w:rPr>
              <w:t>29.</w:t>
            </w:r>
            <w:r>
              <w:rPr>
                <w:rFonts w:hint="default" w:ascii="仿宋_GB2312" w:eastAsia="仿宋_GB2312" w:cs="仿宋_GB2312"/>
                <w:color w:val="000000"/>
              </w:rPr>
              <w:t>开展学生安全知识、劳动保护、劳动纪律教育，培养学生安全意识和安全素养；安全管理制度健全，运行和管理规范</w:t>
            </w:r>
          </w:p>
        </w:tc>
      </w:tr>
    </w:tbl>
    <w:p w14:paraId="1F51755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仿宋_GB2312" w:hAnsi="Microsoft YaHei UI" w:eastAsia="仿宋_GB2312" w:cs="仿宋_GB2312"/>
          <w:b/>
          <w:bCs/>
          <w:i w:val="0"/>
          <w:iCs w:val="0"/>
          <w:caps w:val="0"/>
          <w:color w:val="000000"/>
          <w:spacing w:val="8"/>
          <w:sz w:val="24"/>
          <w:szCs w:val="24"/>
        </w:rPr>
        <w:t>注：</w:t>
      </w:r>
    </w:p>
    <w:p w14:paraId="10BFCB8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Times New Roman" w:hAnsi="Times New Roman" w:eastAsia="Microsoft YaHei UI" w:cs="Times New Roman"/>
          <w:i w:val="0"/>
          <w:iCs w:val="0"/>
          <w:caps w:val="0"/>
          <w:spacing w:val="8"/>
          <w:sz w:val="24"/>
          <w:szCs w:val="24"/>
        </w:rPr>
        <w:t>1.</w:t>
      </w:r>
      <w:r>
        <w:rPr>
          <w:rFonts w:hint="default" w:ascii="仿宋_GB2312" w:hAnsi="Microsoft YaHei UI" w:eastAsia="仿宋_GB2312" w:cs="仿宋_GB2312"/>
          <w:i w:val="0"/>
          <w:iCs w:val="0"/>
          <w:caps w:val="0"/>
          <w:spacing w:val="8"/>
          <w:sz w:val="24"/>
          <w:szCs w:val="24"/>
        </w:rPr>
        <w:t>依据高等职业学校学生在校学习年限确定。</w:t>
      </w:r>
    </w:p>
    <w:p w14:paraId="2AC918E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Times New Roman" w:hAnsi="Times New Roman" w:eastAsia="Microsoft YaHei UI" w:cs="Times New Roman"/>
          <w:i w:val="0"/>
          <w:iCs w:val="0"/>
          <w:caps w:val="0"/>
          <w:spacing w:val="8"/>
          <w:sz w:val="24"/>
          <w:szCs w:val="24"/>
        </w:rPr>
        <w:t>2.</w:t>
      </w:r>
      <w:r>
        <w:rPr>
          <w:rFonts w:hint="default" w:ascii="仿宋_GB2312" w:hAnsi="Microsoft YaHei UI" w:eastAsia="仿宋_GB2312" w:cs="仿宋_GB2312"/>
          <w:i w:val="0"/>
          <w:iCs w:val="0"/>
          <w:caps w:val="0"/>
          <w:spacing w:val="8"/>
          <w:sz w:val="24"/>
          <w:szCs w:val="24"/>
        </w:rPr>
        <w:t>教育部《关于职业院校专业人才培养方案制订与实施工作的指导意见》第四条：加强实践性教学，实践性教学学时原则上占总学时数</w:t>
      </w:r>
      <w:r>
        <w:rPr>
          <w:rFonts w:hint="default" w:ascii="Times New Roman" w:hAnsi="Times New Roman" w:eastAsia="Microsoft YaHei UI" w:cs="Times New Roman"/>
          <w:i w:val="0"/>
          <w:iCs w:val="0"/>
          <w:caps w:val="0"/>
          <w:spacing w:val="8"/>
          <w:sz w:val="24"/>
          <w:szCs w:val="24"/>
        </w:rPr>
        <w:t>50%</w:t>
      </w:r>
      <w:r>
        <w:rPr>
          <w:rFonts w:hint="default" w:ascii="仿宋_GB2312" w:hAnsi="Microsoft YaHei UI" w:eastAsia="仿宋_GB2312" w:cs="仿宋_GB2312"/>
          <w:i w:val="0"/>
          <w:iCs w:val="0"/>
          <w:caps w:val="0"/>
          <w:spacing w:val="8"/>
          <w:sz w:val="24"/>
          <w:szCs w:val="24"/>
        </w:rPr>
        <w:t>以上；学生顶岗实习时间一般为</w:t>
      </w:r>
      <w:r>
        <w:rPr>
          <w:rFonts w:hint="default" w:ascii="Times New Roman" w:hAnsi="Times New Roman" w:eastAsia="Microsoft YaHei UI" w:cs="Times New Roman"/>
          <w:i w:val="0"/>
          <w:iCs w:val="0"/>
          <w:caps w:val="0"/>
          <w:spacing w:val="8"/>
          <w:sz w:val="24"/>
          <w:szCs w:val="24"/>
        </w:rPr>
        <w:t>6</w:t>
      </w:r>
      <w:r>
        <w:rPr>
          <w:rFonts w:hint="default" w:ascii="仿宋_GB2312" w:hAnsi="Microsoft YaHei UI" w:eastAsia="仿宋_GB2312" w:cs="仿宋_GB2312"/>
          <w:i w:val="0"/>
          <w:iCs w:val="0"/>
          <w:caps w:val="0"/>
          <w:spacing w:val="8"/>
          <w:sz w:val="24"/>
          <w:szCs w:val="24"/>
        </w:rPr>
        <w:t>个月。</w:t>
      </w:r>
    </w:p>
    <w:p w14:paraId="674EF1B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Times New Roman" w:hAnsi="Times New Roman" w:eastAsia="Microsoft YaHei UI" w:cs="Times New Roman"/>
          <w:i w:val="0"/>
          <w:iCs w:val="0"/>
          <w:caps w:val="0"/>
          <w:spacing w:val="8"/>
          <w:sz w:val="24"/>
          <w:szCs w:val="24"/>
        </w:rPr>
        <w:t>3.</w:t>
      </w:r>
      <w:r>
        <w:rPr>
          <w:rFonts w:hint="default" w:ascii="仿宋_GB2312" w:hAnsi="Microsoft YaHei UI" w:eastAsia="仿宋_GB2312" w:cs="仿宋_GB2312"/>
          <w:i w:val="0"/>
          <w:iCs w:val="0"/>
          <w:caps w:val="0"/>
          <w:spacing w:val="8"/>
          <w:sz w:val="24"/>
          <w:szCs w:val="24"/>
        </w:rPr>
        <w:t>数据来源：全国高等职业学校人才培养工作状态数据采集与管理平台。</w:t>
      </w:r>
    </w:p>
    <w:p w14:paraId="025D6E3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Times New Roman" w:hAnsi="Times New Roman" w:eastAsia="Microsoft YaHei UI" w:cs="Times New Roman"/>
          <w:i w:val="0"/>
          <w:iCs w:val="0"/>
          <w:caps w:val="0"/>
          <w:spacing w:val="8"/>
          <w:sz w:val="24"/>
          <w:szCs w:val="24"/>
        </w:rPr>
        <w:t>4.</w:t>
      </w:r>
      <w:r>
        <w:rPr>
          <w:rFonts w:hint="default" w:ascii="仿宋_GB2312" w:hAnsi="Microsoft YaHei UI" w:eastAsia="仿宋_GB2312" w:cs="仿宋_GB2312"/>
          <w:i w:val="0"/>
          <w:iCs w:val="0"/>
          <w:caps w:val="0"/>
          <w:spacing w:val="8"/>
          <w:sz w:val="24"/>
          <w:szCs w:val="24"/>
        </w:rPr>
        <w:t>教育部《关于职业院校专业人才培养方案制订与实施工作的指导意见》第三条：三年制高职总学时数不低于</w:t>
      </w:r>
      <w:r>
        <w:rPr>
          <w:rFonts w:hint="default" w:ascii="Times New Roman" w:hAnsi="Times New Roman" w:eastAsia="Microsoft YaHei UI" w:cs="Times New Roman"/>
          <w:i w:val="0"/>
          <w:iCs w:val="0"/>
          <w:caps w:val="0"/>
          <w:spacing w:val="8"/>
          <w:sz w:val="24"/>
          <w:szCs w:val="24"/>
        </w:rPr>
        <w:t>2500</w:t>
      </w:r>
      <w:r>
        <w:rPr>
          <w:rFonts w:hint="default" w:ascii="仿宋_GB2312" w:hAnsi="Microsoft YaHei UI" w:eastAsia="仿宋_GB2312" w:cs="仿宋_GB2312"/>
          <w:i w:val="0"/>
          <w:iCs w:val="0"/>
          <w:caps w:val="0"/>
          <w:spacing w:val="8"/>
          <w:sz w:val="24"/>
          <w:szCs w:val="24"/>
        </w:rPr>
        <w:t>，公共基础课程学时应当不少于总学时的</w:t>
      </w:r>
      <w:r>
        <w:rPr>
          <w:rFonts w:hint="default" w:ascii="Times New Roman" w:hAnsi="Times New Roman" w:eastAsia="Microsoft YaHei UI" w:cs="Times New Roman"/>
          <w:i w:val="0"/>
          <w:iCs w:val="0"/>
          <w:caps w:val="0"/>
          <w:spacing w:val="8"/>
          <w:sz w:val="24"/>
          <w:szCs w:val="24"/>
        </w:rPr>
        <w:t>1/4</w:t>
      </w:r>
      <w:r>
        <w:rPr>
          <w:rFonts w:hint="default" w:ascii="仿宋_GB2312" w:hAnsi="Microsoft YaHei UI" w:eastAsia="仿宋_GB2312" w:cs="仿宋_GB2312"/>
          <w:i w:val="0"/>
          <w:iCs w:val="0"/>
          <w:caps w:val="0"/>
          <w:spacing w:val="8"/>
          <w:sz w:val="24"/>
          <w:szCs w:val="24"/>
        </w:rPr>
        <w:t>。</w:t>
      </w:r>
    </w:p>
    <w:p w14:paraId="32CEF5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Times New Roman" w:hAnsi="Times New Roman" w:eastAsia="Microsoft YaHei UI" w:cs="Times New Roman"/>
          <w:i w:val="0"/>
          <w:iCs w:val="0"/>
          <w:caps w:val="0"/>
          <w:spacing w:val="8"/>
          <w:sz w:val="24"/>
          <w:szCs w:val="24"/>
        </w:rPr>
        <w:t>5.</w:t>
      </w:r>
      <w:r>
        <w:rPr>
          <w:rFonts w:hint="default" w:ascii="仿宋_GB2312" w:hAnsi="Microsoft YaHei UI" w:eastAsia="仿宋_GB2312" w:cs="仿宋_GB2312"/>
          <w:i w:val="0"/>
          <w:iCs w:val="0"/>
          <w:caps w:val="0"/>
          <w:spacing w:val="8"/>
          <w:sz w:val="24"/>
          <w:szCs w:val="24"/>
        </w:rPr>
        <w:t>教育部《关于职业院校专业人才培养方案制订与实施工作的指导意见》第三条：高职选修课教学时数占总学</w:t>
      </w:r>
      <w:r>
        <w:rPr>
          <w:rFonts w:hint="default" w:ascii="仿宋_GB2312" w:hAnsi="Microsoft YaHei UI" w:eastAsia="仿宋_GB2312" w:cs="仿宋_GB2312"/>
          <w:i w:val="0"/>
          <w:iCs w:val="0"/>
          <w:caps w:val="0"/>
          <w:color w:val="000000"/>
          <w:spacing w:val="8"/>
          <w:sz w:val="24"/>
          <w:szCs w:val="24"/>
        </w:rPr>
        <w:t>时的比例应当不少</w:t>
      </w:r>
      <w:r>
        <w:rPr>
          <w:rFonts w:hint="default" w:ascii="仿宋_GB2312" w:hAnsi="Microsoft YaHei UI" w:eastAsia="仿宋_GB2312" w:cs="仿宋_GB2312"/>
          <w:i w:val="0"/>
          <w:iCs w:val="0"/>
          <w:caps w:val="0"/>
          <w:spacing w:val="8"/>
          <w:sz w:val="24"/>
          <w:szCs w:val="24"/>
        </w:rPr>
        <w:t>于</w:t>
      </w:r>
      <w:r>
        <w:rPr>
          <w:rFonts w:hint="default" w:ascii="Times New Roman" w:hAnsi="Times New Roman" w:eastAsia="Microsoft YaHei UI" w:cs="Times New Roman"/>
          <w:i w:val="0"/>
          <w:iCs w:val="0"/>
          <w:caps w:val="0"/>
          <w:spacing w:val="8"/>
          <w:sz w:val="24"/>
          <w:szCs w:val="24"/>
        </w:rPr>
        <w:t>10%</w:t>
      </w:r>
      <w:r>
        <w:rPr>
          <w:rFonts w:hint="default" w:ascii="仿宋_GB2312" w:hAnsi="Microsoft YaHei UI" w:eastAsia="仿宋_GB2312" w:cs="仿宋_GB2312"/>
          <w:i w:val="0"/>
          <w:iCs w:val="0"/>
          <w:caps w:val="0"/>
          <w:spacing w:val="8"/>
          <w:sz w:val="24"/>
          <w:szCs w:val="24"/>
        </w:rPr>
        <w:t>。</w:t>
      </w:r>
    </w:p>
    <w:p w14:paraId="4EF19AD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Times New Roman" w:hAnsi="Times New Roman" w:eastAsia="Microsoft YaHei UI" w:cs="Times New Roman"/>
          <w:i w:val="0"/>
          <w:iCs w:val="0"/>
          <w:caps w:val="0"/>
          <w:spacing w:val="8"/>
          <w:sz w:val="24"/>
          <w:szCs w:val="24"/>
        </w:rPr>
        <w:t>6.</w:t>
      </w:r>
      <w:r>
        <w:rPr>
          <w:rFonts w:hint="default" w:ascii="仿宋_GB2312" w:hAnsi="Microsoft YaHei UI" w:eastAsia="仿宋_GB2312" w:cs="仿宋_GB2312"/>
          <w:i w:val="0"/>
          <w:iCs w:val="0"/>
          <w:caps w:val="0"/>
          <w:spacing w:val="8"/>
          <w:sz w:val="24"/>
          <w:szCs w:val="24"/>
        </w:rPr>
        <w:t>教育部《新时代高等学校思想政治理论课教师队伍建设规定》第七条：高等学校应当根据全日制在校生总数，严格按照师生比不低于</w:t>
      </w:r>
      <w:r>
        <w:rPr>
          <w:rFonts w:hint="default" w:ascii="Times New Roman" w:hAnsi="Times New Roman" w:eastAsia="Microsoft YaHei UI" w:cs="Times New Roman"/>
          <w:i w:val="0"/>
          <w:iCs w:val="0"/>
          <w:caps w:val="0"/>
          <w:spacing w:val="8"/>
          <w:sz w:val="24"/>
          <w:szCs w:val="24"/>
        </w:rPr>
        <w:t>1:350</w:t>
      </w:r>
      <w:r>
        <w:rPr>
          <w:rFonts w:hint="default" w:ascii="仿宋_GB2312" w:hAnsi="Microsoft YaHei UI" w:eastAsia="仿宋_GB2312" w:cs="仿宋_GB2312"/>
          <w:i w:val="0"/>
          <w:iCs w:val="0"/>
          <w:caps w:val="0"/>
          <w:spacing w:val="8"/>
          <w:sz w:val="24"/>
          <w:szCs w:val="24"/>
        </w:rPr>
        <w:t>的比例核定专职思政课教师岗位。</w:t>
      </w:r>
    </w:p>
    <w:p w14:paraId="098B25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Times New Roman" w:hAnsi="Times New Roman" w:eastAsia="Microsoft YaHei UI" w:cs="Times New Roman"/>
          <w:i w:val="0"/>
          <w:iCs w:val="0"/>
          <w:caps w:val="0"/>
          <w:spacing w:val="8"/>
          <w:sz w:val="24"/>
          <w:szCs w:val="24"/>
        </w:rPr>
        <w:t>7.</w:t>
      </w:r>
      <w:r>
        <w:rPr>
          <w:rFonts w:hint="default" w:ascii="仿宋_GB2312" w:hAnsi="Microsoft YaHei UI" w:eastAsia="仿宋_GB2312" w:cs="仿宋_GB2312"/>
          <w:i w:val="0"/>
          <w:iCs w:val="0"/>
          <w:caps w:val="0"/>
          <w:spacing w:val="8"/>
          <w:sz w:val="24"/>
          <w:szCs w:val="24"/>
        </w:rPr>
        <w:t>教育部《普通高等学校辅导员队伍建设规定》第六条：高等学校应当按总体上师生比不低于</w:t>
      </w:r>
      <w:r>
        <w:rPr>
          <w:rFonts w:hint="default" w:ascii="Times New Roman" w:hAnsi="Times New Roman" w:eastAsia="Microsoft YaHei UI" w:cs="Times New Roman"/>
          <w:i w:val="0"/>
          <w:iCs w:val="0"/>
          <w:caps w:val="0"/>
          <w:spacing w:val="8"/>
          <w:sz w:val="24"/>
          <w:szCs w:val="24"/>
        </w:rPr>
        <w:t>1:200</w:t>
      </w:r>
      <w:r>
        <w:rPr>
          <w:rFonts w:hint="default" w:ascii="仿宋_GB2312" w:hAnsi="Microsoft YaHei UI" w:eastAsia="仿宋_GB2312" w:cs="仿宋_GB2312"/>
          <w:i w:val="0"/>
          <w:iCs w:val="0"/>
          <w:caps w:val="0"/>
          <w:spacing w:val="8"/>
          <w:sz w:val="24"/>
          <w:szCs w:val="24"/>
        </w:rPr>
        <w:t>的比例设置专职辅导员岗位，按照专兼结合、以专为主的原则，足额配备到位。</w:t>
      </w:r>
    </w:p>
    <w:p w14:paraId="666A1D2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Times New Roman" w:hAnsi="Times New Roman" w:eastAsia="Microsoft YaHei UI" w:cs="Times New Roman"/>
          <w:i w:val="0"/>
          <w:iCs w:val="0"/>
          <w:caps w:val="0"/>
          <w:spacing w:val="8"/>
          <w:sz w:val="24"/>
          <w:szCs w:val="24"/>
        </w:rPr>
        <w:t>8.</w:t>
      </w:r>
      <w:r>
        <w:rPr>
          <w:rFonts w:hint="default" w:ascii="仿宋_GB2312" w:hAnsi="Microsoft YaHei UI" w:eastAsia="仿宋_GB2312" w:cs="仿宋_GB2312"/>
          <w:i w:val="0"/>
          <w:iCs w:val="0"/>
          <w:caps w:val="0"/>
          <w:spacing w:val="8"/>
          <w:sz w:val="24"/>
          <w:szCs w:val="24"/>
        </w:rPr>
        <w:t>教育部等</w:t>
      </w:r>
      <w:r>
        <w:rPr>
          <w:rFonts w:hint="default" w:ascii="Times New Roman" w:hAnsi="Times New Roman" w:eastAsia="Microsoft YaHei UI" w:cs="Times New Roman"/>
          <w:i w:val="0"/>
          <w:iCs w:val="0"/>
          <w:caps w:val="0"/>
          <w:spacing w:val="8"/>
          <w:sz w:val="24"/>
          <w:szCs w:val="24"/>
        </w:rPr>
        <w:t>16</w:t>
      </w:r>
      <w:r>
        <w:rPr>
          <w:rFonts w:hint="default" w:ascii="仿宋_GB2312" w:hAnsi="Microsoft YaHei UI" w:eastAsia="仿宋_GB2312" w:cs="仿宋_GB2312"/>
          <w:i w:val="0"/>
          <w:iCs w:val="0"/>
          <w:caps w:val="0"/>
          <w:spacing w:val="8"/>
          <w:sz w:val="24"/>
          <w:szCs w:val="24"/>
        </w:rPr>
        <w:t>部委《全面加强和改进新时代学生心理健康工作专项行动计划（</w:t>
      </w:r>
      <w:r>
        <w:rPr>
          <w:rFonts w:hint="default" w:ascii="Times New Roman" w:hAnsi="Times New Roman" w:eastAsia="Microsoft YaHei UI" w:cs="Times New Roman"/>
          <w:i w:val="0"/>
          <w:iCs w:val="0"/>
          <w:caps w:val="0"/>
          <w:spacing w:val="8"/>
          <w:sz w:val="24"/>
          <w:szCs w:val="24"/>
        </w:rPr>
        <w:t>2023—2025</w:t>
      </w:r>
      <w:r>
        <w:rPr>
          <w:rFonts w:hint="default" w:ascii="仿宋_GB2312" w:hAnsi="Microsoft YaHei UI" w:eastAsia="仿宋_GB2312" w:cs="仿宋_GB2312"/>
          <w:i w:val="0"/>
          <w:iCs w:val="0"/>
          <w:caps w:val="0"/>
          <w:spacing w:val="8"/>
          <w:sz w:val="24"/>
          <w:szCs w:val="24"/>
        </w:rPr>
        <w:t>年）》第十四条：高校按师生比例不低于</w:t>
      </w:r>
      <w:r>
        <w:rPr>
          <w:rFonts w:hint="default" w:ascii="Times New Roman" w:hAnsi="Times New Roman" w:eastAsia="Microsoft YaHei UI" w:cs="Times New Roman"/>
          <w:i w:val="0"/>
          <w:iCs w:val="0"/>
          <w:caps w:val="0"/>
          <w:spacing w:val="8"/>
          <w:sz w:val="24"/>
          <w:szCs w:val="24"/>
        </w:rPr>
        <w:t>1:4000</w:t>
      </w:r>
      <w:r>
        <w:rPr>
          <w:rFonts w:hint="default" w:ascii="仿宋_GB2312" w:hAnsi="Microsoft YaHei UI" w:eastAsia="仿宋_GB2312" w:cs="仿宋_GB2312"/>
          <w:i w:val="0"/>
          <w:iCs w:val="0"/>
          <w:caps w:val="0"/>
          <w:spacing w:val="8"/>
          <w:sz w:val="24"/>
          <w:szCs w:val="24"/>
        </w:rPr>
        <w:t>配备专职心理健康教育教师，且每校至少配备</w:t>
      </w:r>
      <w:r>
        <w:rPr>
          <w:rFonts w:hint="default" w:ascii="Times New Roman" w:hAnsi="Times New Roman" w:eastAsia="Microsoft YaHei UI" w:cs="Times New Roman"/>
          <w:i w:val="0"/>
          <w:iCs w:val="0"/>
          <w:caps w:val="0"/>
          <w:spacing w:val="8"/>
          <w:sz w:val="24"/>
          <w:szCs w:val="24"/>
        </w:rPr>
        <w:t>2</w:t>
      </w:r>
      <w:r>
        <w:rPr>
          <w:rFonts w:hint="default" w:ascii="仿宋_GB2312" w:hAnsi="Microsoft YaHei UI" w:eastAsia="仿宋_GB2312" w:cs="仿宋_GB2312"/>
          <w:i w:val="0"/>
          <w:iCs w:val="0"/>
          <w:caps w:val="0"/>
          <w:spacing w:val="8"/>
          <w:sz w:val="24"/>
          <w:szCs w:val="24"/>
        </w:rPr>
        <w:t>名。</w:t>
      </w:r>
    </w:p>
    <w:p w14:paraId="6CAFF9A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Times New Roman" w:hAnsi="Times New Roman" w:eastAsia="Microsoft YaHei UI" w:cs="Times New Roman"/>
          <w:i w:val="0"/>
          <w:iCs w:val="0"/>
          <w:caps w:val="0"/>
          <w:spacing w:val="8"/>
          <w:sz w:val="24"/>
          <w:szCs w:val="24"/>
        </w:rPr>
        <w:t>9.</w:t>
      </w:r>
      <w:r>
        <w:rPr>
          <w:rFonts w:hint="default" w:ascii="仿宋_GB2312" w:hAnsi="Microsoft YaHei UI" w:eastAsia="仿宋_GB2312" w:cs="仿宋_GB2312"/>
          <w:i w:val="0"/>
          <w:iCs w:val="0"/>
          <w:caps w:val="0"/>
          <w:spacing w:val="8"/>
          <w:sz w:val="24"/>
          <w:szCs w:val="24"/>
        </w:rPr>
        <w:t>教育部《普通高等学校基本办学条件指标（试行）》中关于高职（专科）生师比“合格”标准的规定。</w:t>
      </w:r>
    </w:p>
    <w:p w14:paraId="6477CD1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Times New Roman" w:hAnsi="Times New Roman" w:eastAsia="Microsoft YaHei UI" w:cs="Times New Roman"/>
          <w:i w:val="0"/>
          <w:iCs w:val="0"/>
          <w:caps w:val="0"/>
          <w:spacing w:val="8"/>
          <w:sz w:val="24"/>
          <w:szCs w:val="24"/>
        </w:rPr>
        <w:t>10.</w:t>
      </w:r>
      <w:r>
        <w:rPr>
          <w:rFonts w:hint="default" w:ascii="仿宋_GB2312" w:hAnsi="Microsoft YaHei UI" w:eastAsia="仿宋_GB2312" w:cs="仿宋_GB2312"/>
          <w:i w:val="0"/>
          <w:iCs w:val="0"/>
          <w:caps w:val="0"/>
          <w:spacing w:val="8"/>
          <w:sz w:val="24"/>
          <w:szCs w:val="24"/>
        </w:rPr>
        <w:t>国务院《国家职业教育改革实施方案》具体指标：“双师型”教师（同时具备理论教学和实践教学能力的教师）占专业课教师总数超过一半。其中，</w:t>
      </w:r>
      <w:r>
        <w:rPr>
          <w:rFonts w:hint="default" w:ascii="Times New Roman" w:hAnsi="Times New Roman" w:eastAsia="Microsoft YaHei UI" w:cs="Times New Roman"/>
          <w:i w:val="0"/>
          <w:iCs w:val="0"/>
          <w:caps w:val="0"/>
          <w:spacing w:val="8"/>
          <w:sz w:val="24"/>
          <w:szCs w:val="24"/>
        </w:rPr>
        <w:t>“</w:t>
      </w:r>
      <w:r>
        <w:rPr>
          <w:rFonts w:hint="default" w:ascii="仿宋_GB2312" w:hAnsi="Microsoft YaHei UI" w:eastAsia="仿宋_GB2312" w:cs="仿宋_GB2312"/>
          <w:i w:val="0"/>
          <w:iCs w:val="0"/>
          <w:caps w:val="0"/>
          <w:spacing w:val="8"/>
          <w:sz w:val="24"/>
          <w:szCs w:val="24"/>
        </w:rPr>
        <w:t>双师型</w:t>
      </w:r>
      <w:r>
        <w:rPr>
          <w:rFonts w:hint="default" w:ascii="Times New Roman" w:hAnsi="Times New Roman" w:eastAsia="Microsoft YaHei UI" w:cs="Times New Roman"/>
          <w:i w:val="0"/>
          <w:iCs w:val="0"/>
          <w:caps w:val="0"/>
          <w:spacing w:val="8"/>
          <w:sz w:val="24"/>
          <w:szCs w:val="24"/>
        </w:rPr>
        <w:t>”</w:t>
      </w:r>
      <w:r>
        <w:rPr>
          <w:rFonts w:hint="default" w:ascii="仿宋_GB2312" w:hAnsi="Microsoft YaHei UI" w:eastAsia="仿宋_GB2312" w:cs="仿宋_GB2312"/>
          <w:i w:val="0"/>
          <w:iCs w:val="0"/>
          <w:caps w:val="0"/>
          <w:spacing w:val="8"/>
          <w:sz w:val="24"/>
          <w:szCs w:val="24"/>
        </w:rPr>
        <w:t>教师为符合《教育部办公厅关于做好职业教育</w:t>
      </w:r>
      <w:r>
        <w:rPr>
          <w:rFonts w:hint="default" w:ascii="Times New Roman" w:hAnsi="Times New Roman" w:eastAsia="Microsoft YaHei UI" w:cs="Times New Roman"/>
          <w:i w:val="0"/>
          <w:iCs w:val="0"/>
          <w:caps w:val="0"/>
          <w:spacing w:val="8"/>
          <w:sz w:val="24"/>
          <w:szCs w:val="24"/>
        </w:rPr>
        <w:t>“</w:t>
      </w:r>
      <w:r>
        <w:rPr>
          <w:rFonts w:hint="default" w:ascii="仿宋_GB2312" w:hAnsi="Microsoft YaHei UI" w:eastAsia="仿宋_GB2312" w:cs="仿宋_GB2312"/>
          <w:i w:val="0"/>
          <w:iCs w:val="0"/>
          <w:caps w:val="0"/>
          <w:spacing w:val="8"/>
          <w:sz w:val="24"/>
          <w:szCs w:val="24"/>
        </w:rPr>
        <w:t>双师型</w:t>
      </w:r>
      <w:r>
        <w:rPr>
          <w:rFonts w:hint="default" w:ascii="Times New Roman" w:hAnsi="Times New Roman" w:eastAsia="Microsoft YaHei UI" w:cs="Times New Roman"/>
          <w:i w:val="0"/>
          <w:iCs w:val="0"/>
          <w:caps w:val="0"/>
          <w:spacing w:val="8"/>
          <w:sz w:val="24"/>
          <w:szCs w:val="24"/>
        </w:rPr>
        <w:t>”</w:t>
      </w:r>
      <w:r>
        <w:rPr>
          <w:rFonts w:hint="default" w:ascii="仿宋_GB2312" w:hAnsi="Microsoft YaHei UI" w:eastAsia="仿宋_GB2312" w:cs="仿宋_GB2312"/>
          <w:i w:val="0"/>
          <w:iCs w:val="0"/>
          <w:caps w:val="0"/>
          <w:spacing w:val="8"/>
          <w:sz w:val="24"/>
          <w:szCs w:val="24"/>
        </w:rPr>
        <w:t>教师认定工作的通知》（教师厅〔</w:t>
      </w:r>
      <w:r>
        <w:rPr>
          <w:rFonts w:hint="default" w:ascii="Times New Roman" w:hAnsi="Times New Roman" w:eastAsia="Microsoft YaHei UI" w:cs="Times New Roman"/>
          <w:i w:val="0"/>
          <w:iCs w:val="0"/>
          <w:caps w:val="0"/>
          <w:spacing w:val="8"/>
          <w:sz w:val="24"/>
          <w:szCs w:val="24"/>
        </w:rPr>
        <w:t>2022</w:t>
      </w:r>
      <w:r>
        <w:rPr>
          <w:rFonts w:hint="default" w:ascii="仿宋_GB2312" w:hAnsi="Microsoft YaHei UI" w:eastAsia="仿宋_GB2312" w:cs="仿宋_GB2312"/>
          <w:i w:val="0"/>
          <w:iCs w:val="0"/>
          <w:caps w:val="0"/>
          <w:spacing w:val="8"/>
          <w:sz w:val="24"/>
          <w:szCs w:val="24"/>
        </w:rPr>
        <w:t>〕</w:t>
      </w:r>
      <w:r>
        <w:rPr>
          <w:rFonts w:hint="default" w:ascii="Times New Roman" w:hAnsi="Times New Roman" w:eastAsia="Microsoft YaHei UI" w:cs="Times New Roman"/>
          <w:i w:val="0"/>
          <w:iCs w:val="0"/>
          <w:caps w:val="0"/>
          <w:spacing w:val="8"/>
          <w:sz w:val="24"/>
          <w:szCs w:val="24"/>
        </w:rPr>
        <w:t>2</w:t>
      </w:r>
      <w:r>
        <w:rPr>
          <w:rFonts w:hint="default" w:ascii="仿宋_GB2312" w:hAnsi="Microsoft YaHei UI" w:eastAsia="仿宋_GB2312" w:cs="仿宋_GB2312"/>
          <w:i w:val="0"/>
          <w:iCs w:val="0"/>
          <w:caps w:val="0"/>
          <w:spacing w:val="8"/>
          <w:sz w:val="24"/>
          <w:szCs w:val="24"/>
        </w:rPr>
        <w:t>号）认定要求的教师。</w:t>
      </w:r>
    </w:p>
    <w:p w14:paraId="1DD822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Times New Roman" w:hAnsi="Times New Roman" w:eastAsia="Microsoft YaHei UI" w:cs="Times New Roman"/>
          <w:i w:val="0"/>
          <w:iCs w:val="0"/>
          <w:caps w:val="0"/>
          <w:spacing w:val="8"/>
          <w:sz w:val="24"/>
          <w:szCs w:val="24"/>
        </w:rPr>
        <w:t>11.</w:t>
      </w:r>
      <w:r>
        <w:rPr>
          <w:rFonts w:hint="default" w:ascii="仿宋_GB2312" w:hAnsi="Microsoft YaHei UI" w:eastAsia="仿宋_GB2312" w:cs="仿宋_GB2312"/>
          <w:i w:val="0"/>
          <w:iCs w:val="0"/>
          <w:caps w:val="0"/>
          <w:spacing w:val="8"/>
          <w:sz w:val="24"/>
          <w:szCs w:val="24"/>
        </w:rPr>
        <w:t>教育部等四部门关于印发《职业学校兼职教师管理办法》的通知第四条：兼职教师占职业学校专兼职教师总数的比例一般不超过</w:t>
      </w:r>
      <w:r>
        <w:rPr>
          <w:rFonts w:hint="default" w:ascii="Times New Roman" w:hAnsi="Times New Roman" w:eastAsia="Microsoft YaHei UI" w:cs="Times New Roman"/>
          <w:i w:val="0"/>
          <w:iCs w:val="0"/>
          <w:caps w:val="0"/>
          <w:spacing w:val="8"/>
          <w:sz w:val="24"/>
          <w:szCs w:val="24"/>
        </w:rPr>
        <w:t>30%</w:t>
      </w:r>
      <w:r>
        <w:rPr>
          <w:rFonts w:hint="default" w:ascii="仿宋_GB2312" w:hAnsi="Microsoft YaHei UI" w:eastAsia="仿宋_GB2312" w:cs="仿宋_GB2312"/>
          <w:i w:val="0"/>
          <w:iCs w:val="0"/>
          <w:caps w:val="0"/>
          <w:spacing w:val="8"/>
          <w:sz w:val="24"/>
          <w:szCs w:val="24"/>
        </w:rPr>
        <w:t>。</w:t>
      </w:r>
    </w:p>
    <w:p w14:paraId="1E5CE56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jc w:val="both"/>
      </w:pPr>
      <w:r>
        <w:rPr>
          <w:rFonts w:hint="default" w:ascii="Times New Roman" w:hAnsi="Times New Roman" w:eastAsia="Microsoft YaHei UI" w:cs="Times New Roman"/>
          <w:i w:val="0"/>
          <w:iCs w:val="0"/>
          <w:caps w:val="0"/>
          <w:spacing w:val="8"/>
          <w:sz w:val="24"/>
          <w:szCs w:val="24"/>
        </w:rPr>
        <w:t>12.</w:t>
      </w:r>
      <w:r>
        <w:rPr>
          <w:rFonts w:hint="default" w:ascii="仿宋_GB2312" w:hAnsi="Microsoft YaHei UI" w:eastAsia="仿宋_GB2312" w:cs="仿宋_GB2312"/>
          <w:i w:val="0"/>
          <w:iCs w:val="0"/>
          <w:caps w:val="0"/>
          <w:spacing w:val="8"/>
          <w:sz w:val="24"/>
          <w:szCs w:val="24"/>
        </w:rPr>
        <w:t>国务院《国家职业教育改革实施方案》第十二条：实施职业院校教师素质提高计划，建立</w:t>
      </w:r>
      <w:r>
        <w:rPr>
          <w:rFonts w:hint="default" w:ascii="Times New Roman" w:hAnsi="Times New Roman" w:eastAsia="Microsoft YaHei UI" w:cs="Times New Roman"/>
          <w:i w:val="0"/>
          <w:iCs w:val="0"/>
          <w:caps w:val="0"/>
          <w:spacing w:val="8"/>
          <w:sz w:val="24"/>
          <w:szCs w:val="24"/>
        </w:rPr>
        <w:t>100</w:t>
      </w:r>
      <w:r>
        <w:rPr>
          <w:rFonts w:hint="default" w:ascii="仿宋_GB2312" w:hAnsi="Microsoft YaHei UI" w:eastAsia="仿宋_GB2312" w:cs="仿宋_GB2312"/>
          <w:i w:val="0"/>
          <w:iCs w:val="0"/>
          <w:caps w:val="0"/>
          <w:spacing w:val="8"/>
          <w:sz w:val="24"/>
          <w:szCs w:val="24"/>
        </w:rPr>
        <w:t>个</w:t>
      </w:r>
      <w:r>
        <w:rPr>
          <w:rFonts w:hint="default" w:ascii="Times New Roman" w:hAnsi="Times New Roman" w:eastAsia="Microsoft YaHei UI" w:cs="Times New Roman"/>
          <w:i w:val="0"/>
          <w:iCs w:val="0"/>
          <w:caps w:val="0"/>
          <w:spacing w:val="8"/>
          <w:sz w:val="24"/>
          <w:szCs w:val="24"/>
        </w:rPr>
        <w:t>“</w:t>
      </w:r>
      <w:r>
        <w:rPr>
          <w:rFonts w:hint="default" w:ascii="仿宋_GB2312" w:hAnsi="Microsoft YaHei UI" w:eastAsia="仿宋_GB2312" w:cs="仿宋_GB2312"/>
          <w:i w:val="0"/>
          <w:iCs w:val="0"/>
          <w:caps w:val="0"/>
          <w:spacing w:val="8"/>
          <w:sz w:val="24"/>
          <w:szCs w:val="24"/>
        </w:rPr>
        <w:t>双师型</w:t>
      </w:r>
      <w:r>
        <w:rPr>
          <w:rFonts w:hint="default" w:ascii="Times New Roman" w:hAnsi="Times New Roman" w:eastAsia="Microsoft YaHei UI" w:cs="Times New Roman"/>
          <w:i w:val="0"/>
          <w:iCs w:val="0"/>
          <w:caps w:val="0"/>
          <w:spacing w:val="8"/>
          <w:sz w:val="24"/>
          <w:szCs w:val="24"/>
        </w:rPr>
        <w:t>”</w:t>
      </w:r>
      <w:r>
        <w:rPr>
          <w:rFonts w:hint="default" w:ascii="仿宋_GB2312" w:hAnsi="Microsoft YaHei UI" w:eastAsia="仿宋_GB2312" w:cs="仿宋_GB2312"/>
          <w:i w:val="0"/>
          <w:iCs w:val="0"/>
          <w:caps w:val="0"/>
          <w:spacing w:val="8"/>
          <w:sz w:val="24"/>
          <w:szCs w:val="24"/>
        </w:rPr>
        <w:t>教师培养培训基地，职业院校、应用型本科高校教师每年至少</w:t>
      </w:r>
      <w:r>
        <w:rPr>
          <w:rFonts w:hint="default" w:ascii="Times New Roman" w:hAnsi="Times New Roman" w:eastAsia="Microsoft YaHei UI" w:cs="Times New Roman"/>
          <w:i w:val="0"/>
          <w:iCs w:val="0"/>
          <w:caps w:val="0"/>
          <w:spacing w:val="8"/>
          <w:sz w:val="24"/>
          <w:szCs w:val="24"/>
        </w:rPr>
        <w:t>1</w:t>
      </w:r>
      <w:r>
        <w:rPr>
          <w:rFonts w:hint="default" w:ascii="仿宋_GB2312" w:hAnsi="Microsoft YaHei UI" w:eastAsia="仿宋_GB2312" w:cs="仿宋_GB2312"/>
          <w:i w:val="0"/>
          <w:iCs w:val="0"/>
          <w:caps w:val="0"/>
          <w:spacing w:val="8"/>
          <w:sz w:val="24"/>
          <w:szCs w:val="24"/>
        </w:rPr>
        <w:t>个月在企业或实训基地实训，落实教师</w:t>
      </w:r>
      <w:r>
        <w:rPr>
          <w:rFonts w:hint="default" w:ascii="Times New Roman" w:hAnsi="Times New Roman" w:eastAsia="Microsoft YaHei UI" w:cs="Times New Roman"/>
          <w:i w:val="0"/>
          <w:iCs w:val="0"/>
          <w:caps w:val="0"/>
          <w:spacing w:val="8"/>
          <w:sz w:val="24"/>
          <w:szCs w:val="24"/>
        </w:rPr>
        <w:t>5</w:t>
      </w:r>
      <w:r>
        <w:rPr>
          <w:rFonts w:hint="default" w:ascii="仿宋_GB2312" w:hAnsi="Microsoft YaHei UI" w:eastAsia="仿宋_GB2312" w:cs="仿宋_GB2312"/>
          <w:i w:val="0"/>
          <w:iCs w:val="0"/>
          <w:caps w:val="0"/>
          <w:spacing w:val="8"/>
          <w:sz w:val="24"/>
          <w:szCs w:val="24"/>
        </w:rPr>
        <w:t>年一周期的全员轮训制度。</w:t>
      </w:r>
    </w:p>
    <w:p w14:paraId="00DA461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14:paraId="050F1BCF">
      <w:pPr>
        <w:jc w:val="right"/>
        <w:rPr>
          <w:rFonts w:hint="default" w:eastAsiaTheme="minorEastAsia"/>
          <w:lang w:val="en-US" w:eastAsia="zh-CN"/>
        </w:rPr>
      </w:pPr>
      <w:bookmarkStart w:id="0" w:name="_GoBack"/>
      <w:r>
        <w:rPr>
          <w:rFonts w:hint="eastAsia"/>
          <w:lang w:val="en-US" w:eastAsia="zh-CN"/>
        </w:rPr>
        <w:t>来源：教学能力比赛</w:t>
      </w:r>
    </w:p>
    <w:bookmarkEnd w:id="0"/>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_GB2312">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021C3F"/>
    <w:rsid w:val="0B2570BA"/>
    <w:rsid w:val="0CE93D7E"/>
    <w:rsid w:val="32021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NUL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809</Words>
  <Characters>843</Characters>
  <Lines>0</Lines>
  <Paragraphs>0</Paragraphs>
  <TotalTime>7</TotalTime>
  <ScaleCrop>false</ScaleCrop>
  <LinksUpToDate>false</LinksUpToDate>
  <CharactersWithSpaces>843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2025-03-12T02:00:00Z</dcterms:created>
  <dc:creator>ZYP</dc:creator>
  <cp:lastModifiedBy>ZYP</cp:lastModifiedBy>
  <dcterms:modified xsi:type="dcterms:W3CDTF">2025-03-12T07:09:32Z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89DA82D6AC574628BD20197D76F43DD4_11</vt:lpwstr>
  </property>
  <property fmtid="{D5CDD505-2E9C-101B-9397-08002B2CF9AE}" pid="4" name="KSOTemplateDocerSaveRecord">
    <vt:lpwstr>eyJoZGlkIjoiNGM4MTczNzA3YzFmNjIzMTFiMTlkZTcwZDRkNzFiMDUiLCJ1c2VySWQiOiIyNjgxODIwMDkifQ==</vt:lpwstr>
  </property>
</Properties>
</file>