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1F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inorEastAsia" w:hAnsiTheme="minorEastAsia" w:eastAsiaTheme="minorEastAsia" w:cstheme="minorEastAsia"/>
          <w:i w:val="0"/>
          <w:iCs w:val="0"/>
          <w:caps w:val="0"/>
          <w:color w:val="auto"/>
          <w:spacing w:val="8"/>
          <w:sz w:val="36"/>
          <w:szCs w:val="36"/>
        </w:rPr>
      </w:pPr>
      <w:r>
        <w:rPr>
          <w:rFonts w:hint="eastAsia" w:asciiTheme="minorEastAsia" w:hAnsiTheme="minorEastAsia" w:eastAsiaTheme="minorEastAsia" w:cstheme="minorEastAsia"/>
          <w:i w:val="0"/>
          <w:iCs w:val="0"/>
          <w:caps w:val="0"/>
          <w:color w:val="auto"/>
          <w:spacing w:val="8"/>
          <w:sz w:val="36"/>
          <w:szCs w:val="36"/>
        </w:rPr>
        <w:t>以高质量党建提升“双高”建设思政引领度</w:t>
      </w:r>
    </w:p>
    <w:p w14:paraId="27F1357A">
      <w:pPr>
        <w:pStyle w:val="3"/>
        <w:keepNext w:val="0"/>
        <w:keepLines w:val="0"/>
        <w:widowControl/>
        <w:suppressLineNumbers w:val="0"/>
        <w:jc w:val="center"/>
        <w:rPr>
          <w:rFonts w:hint="eastAsia" w:asciiTheme="minorEastAsia" w:hAnsiTheme="minorEastAsia" w:eastAsiaTheme="minorEastAsia" w:cstheme="minorEastAsia"/>
          <w:b/>
          <w:bCs/>
          <w:i w:val="0"/>
          <w:iCs w:val="0"/>
          <w:caps w:val="0"/>
          <w:color w:val="auto"/>
          <w:spacing w:val="8"/>
          <w:kern w:val="44"/>
          <w:sz w:val="36"/>
          <w:szCs w:val="36"/>
          <w:lang w:val="en-US" w:eastAsia="zh-CN" w:bidi="ar"/>
        </w:rPr>
      </w:pPr>
      <w:r>
        <w:rPr>
          <w:rFonts w:hint="eastAsia" w:asciiTheme="minorEastAsia" w:hAnsiTheme="minorEastAsia" w:eastAsiaTheme="minorEastAsia" w:cstheme="minorEastAsia"/>
          <w:b/>
          <w:bCs/>
          <w:i w:val="0"/>
          <w:iCs w:val="0"/>
          <w:caps w:val="0"/>
          <w:color w:val="auto"/>
          <w:spacing w:val="8"/>
          <w:kern w:val="44"/>
          <w:sz w:val="36"/>
          <w:szCs w:val="36"/>
          <w:lang w:val="en-US" w:eastAsia="zh-CN" w:bidi="ar"/>
        </w:rPr>
        <w:t>舒刚</w:t>
      </w:r>
    </w:p>
    <w:p w14:paraId="6F037424">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教育强国建设规划纲要（2024—2035年）》作出“优化实施高水平高等职业学校和专业建设计划”的战略部署。我们要坚持和加强党对职业教育的全面领导，以高质量党建引领职业院校“双高”建设走深走实，为培养大国工匠、能工巧匠和高技能人才提供坚实政治保障和思想引领。</w:t>
      </w:r>
    </w:p>
    <w:p w14:paraId="006D71AE">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2"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一是始终强化党建思政引领，构建立德树人新格局。</w:t>
      </w:r>
      <w:r>
        <w:rPr>
          <w:rFonts w:hint="eastAsia" w:ascii="仿宋" w:hAnsi="仿宋" w:eastAsia="仿宋" w:cs="仿宋"/>
          <w:color w:val="auto"/>
          <w:kern w:val="0"/>
          <w:sz w:val="28"/>
          <w:szCs w:val="28"/>
          <w:lang w:val="en-US" w:eastAsia="zh-CN" w:bidi="ar"/>
        </w:rPr>
        <w:t>要充分发挥党委总揽全局、协调各方的核心作用，切实履行把方向、管大局、作决策、抓班子、带队伍、保落实的领导职责，把党的领导融入办学治校各领域、贯穿“双高”建设全过程。要加强基层党组织建设，选优配强“双带头人”教师党支部书记，充分发挥“双带头人”示范引领作用，打造一支政治素质高、业务能力强的党建工作队伍，不断增强基层党组织的政治功能和组织功能，促进基层党建与专业建设有效融合。要把握职业教育发展趋势，以办学能力高水平、产教融合高质量为目标，以提升人才培养质量和社会服务能力为关键，确保职业院校始终成为培养社会主义建设者和接班人的坚强阵地。要创新校企党组织联学联建机制，以党建为纽带集聚资源、组团发展，通过校企共建育人阵地、开展各类主题党日活动、创建党员先锋岗等，在基层一线实践中激发党建活力，充分实现校企育人功能，切实把党建成效转化为育人成效。</w:t>
      </w:r>
    </w:p>
    <w:p w14:paraId="67F83442">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2"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二是充分发挥思政育人功能，提高人才培养质量。</w:t>
      </w:r>
      <w:r>
        <w:rPr>
          <w:rFonts w:hint="eastAsia" w:ascii="仿宋" w:hAnsi="仿宋" w:eastAsia="仿宋" w:cs="仿宋"/>
          <w:color w:val="auto"/>
          <w:kern w:val="0"/>
          <w:sz w:val="28"/>
          <w:szCs w:val="28"/>
          <w:lang w:val="en-US" w:eastAsia="zh-CN" w:bidi="ar"/>
        </w:rPr>
        <w:t>要坚持不懈用习近平新时代中国特色社会主义思想铸魂育人，健全专业群思政育人体系和德智体美劳全面培养体系，把思政教育贯穿学科体系、教学体系、教材体系、管理体系，融入思想道德、文化知识、社会实践教育。要把思政课建设作为提升思政引领度的重要抓手，充分发挥思政课的主渠道主阵地作用，开足开齐开好思政课，通过新时代伟大变革成功案例和鲜活的实践把道理讲深、讲透、讲活。要积极推动人工智能与思想政治教育深刻融合，借助现代信息技术、人工智能等现代化手段，创新思政课话语内容和方式，探索基于生成式人工智能的互动式教学模式。要着力推动课程思政深度融入专业教学，实现思政课程与课程思政同向同行，不断增强职业院校思政工作引领力。要以金专业、金课程、金教材、金教师、金基地建设为抓手，深化教育教学改革，提高人才培养质量，特别是要坚持以市场需求为导向，深化产教融合、校企合作，结合学校区位优势和行业背景合理组建专业群，让学生在真实的生产环境中锻炼技能。</w:t>
      </w:r>
    </w:p>
    <w:p w14:paraId="57CDC432">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2"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b/>
          <w:bCs/>
          <w:color w:val="auto"/>
          <w:kern w:val="0"/>
          <w:sz w:val="28"/>
          <w:szCs w:val="28"/>
          <w:lang w:val="en-US" w:eastAsia="zh-CN" w:bidi="ar"/>
        </w:rPr>
        <w:t>三是着力加强师德师风建设，筑牢思政育人根基。</w:t>
      </w:r>
      <w:r>
        <w:rPr>
          <w:rFonts w:hint="eastAsia" w:ascii="仿宋" w:hAnsi="仿宋" w:eastAsia="仿宋" w:cs="仿宋"/>
          <w:color w:val="auto"/>
          <w:kern w:val="0"/>
          <w:sz w:val="28"/>
          <w:szCs w:val="28"/>
          <w:lang w:val="en-US" w:eastAsia="zh-CN" w:bidi="ar"/>
        </w:rPr>
        <w:t>要坚持把思想理论武装放在首位，传承弘扬新时代教育家精神，引导广大党员和教师锤炼党性修养、厚植师德师风，自觉扎根职教一线、躬耕教育实践，争做“四有”好老师。要加强师德师风建设，通过评选“师德标兵”“育人楷模”等对先进教师进行表彰奖励，以激发教师积极性，营造良好的师德师风氛围。要加大对教师的培训力度，通过定期组织教师培训、开展教学研讨等方式，帮助教师更新教育理念、掌握先进的教学方法和技术手段，提高教师的专业素养和教学能力。同时，要建立健全教师考核评价机制，将师德表现、育人成效作为重要指标，为职教事业引育一大批既懂技术又擅长育人的“双师型”教师，更好担负起立德树人初心使命。</w:t>
      </w:r>
    </w:p>
    <w:p w14:paraId="1F0C5447">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四是有效涵育优秀校园文化，营造良好育人环境。要充分发挥红色资源育人功能，打造具有职业教育特色的校园文化品牌，通过举办职业技能大赛、创新创业大赛等，不断拓展实践育人和网络育人的空间阵地。要在校园环境建设中充分体现育人理念，生动融入职业元素和思政内容，让校园的每一处角落都成为育人的阵地，在宣传栏张贴社会主义核心价值观、职业院校学生公约等内容，引导学生树立正确的价值观和行为准则。要深挖行业领域劳模工匠故事、优秀企业文化、企业创业历程等思政育人元素，将劳模精神、劳动精神、工匠精神融入专业教育教学，推进职业技能传授与职业精神培养有机融合，完善健全德技并修、工学结合育人机制，营造劳动光荣和精益求精的职教风气，通过在校园内设置“大国工匠”文化长廊等举措，生动展示各行各业的优秀工匠事迹，引导和激励学生崇德向善、见贤思齐。</w:t>
      </w:r>
    </w:p>
    <w:p w14:paraId="5BB4E7C6">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（作者系国家教育行政学院进修二部主任、副研究员）</w:t>
      </w:r>
    </w:p>
    <w:p w14:paraId="61E7093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line="560" w:lineRule="exact"/>
        <w:ind w:right="0"/>
        <w:jc w:val="center"/>
        <w:textAlignment w:val="auto"/>
        <w:rPr>
          <w:rFonts w:hint="eastAsia" w:asciiTheme="minorEastAsia" w:hAnsiTheme="minorEastAsia" w:eastAsiaTheme="minorEastAsia" w:cstheme="minorEastAsia"/>
          <w:i w:val="0"/>
          <w:iCs w:val="0"/>
          <w:caps w:val="0"/>
          <w:color w:val="auto"/>
          <w:spacing w:val="8"/>
          <w:sz w:val="36"/>
          <w:szCs w:val="36"/>
        </w:rPr>
      </w:pPr>
      <w:r>
        <w:rPr>
          <w:rFonts w:hint="eastAsia" w:asciiTheme="minorEastAsia" w:hAnsiTheme="minorEastAsia" w:eastAsiaTheme="minorEastAsia" w:cstheme="minorEastAsia"/>
          <w:i w:val="0"/>
          <w:iCs w:val="0"/>
          <w:caps w:val="0"/>
          <w:color w:val="auto"/>
          <w:spacing w:val="8"/>
          <w:sz w:val="36"/>
          <w:szCs w:val="36"/>
        </w:rPr>
        <w:t>优化实施高水平专业群建设须把握三个关键要素</w:t>
      </w:r>
    </w:p>
    <w:p w14:paraId="09B674D9">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center"/>
        <w:textAlignment w:val="auto"/>
        <w:rPr>
          <w:color w:val="auto"/>
        </w:rPr>
      </w:pPr>
      <w:r>
        <w:rPr>
          <w:rStyle w:val="6"/>
          <w:color w:val="auto"/>
          <w:sz w:val="27"/>
          <w:szCs w:val="27"/>
        </w:rPr>
        <w:t>宗诚</w:t>
      </w:r>
    </w:p>
    <w:p w14:paraId="339DC879">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教育强国建设规划纲要（2024—2035年）》（以下简称《纲要》）提出“优化实施高水平高等职业学校和专业建设计划”，旨在提升职业学校关键办学能力，推动职业教育与国家战略布局、重点产业需求、地方经济社会发展、促进人的全面发展相结合。为此</w:t>
      </w:r>
      <w:r>
        <w:rPr>
          <w:rStyle w:val="6"/>
          <w:rFonts w:ascii="宋体" w:hAnsi="宋体" w:eastAsia="宋体" w:cs="宋体"/>
          <w:color w:val="auto"/>
          <w:kern w:val="0"/>
          <w:sz w:val="27"/>
          <w:szCs w:val="27"/>
          <w:u w:val="single"/>
          <w:lang w:val="en-US" w:eastAsia="zh-CN" w:bidi="ar"/>
        </w:rPr>
        <w:t>，职业学校需要切实把握“需求牵引”“精准对接”“提升效益”三个关键要素，以建设“服务好、支撑好”的专业群为载体，</w:t>
      </w:r>
      <w:r>
        <w:rPr>
          <w:rFonts w:ascii="宋体" w:hAnsi="宋体" w:eastAsia="宋体" w:cs="宋体"/>
          <w:color w:val="auto"/>
          <w:kern w:val="0"/>
          <w:sz w:val="27"/>
          <w:szCs w:val="27"/>
          <w:lang w:val="en-US" w:eastAsia="zh-CN" w:bidi="ar"/>
        </w:rPr>
        <w:t>达到“加快建设现代职业教育体系，培养大国工匠、能工巧匠、高技能人才”的建设目标。</w:t>
      </w:r>
    </w:p>
    <w:p w14:paraId="6203385D">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Style w:val="6"/>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lang w:val="en-US" w:eastAsia="zh-CN" w:bidi="ar"/>
        </w:rPr>
        <w:t>需求牵引：提高专业群建设对产业发展的适配度</w:t>
      </w:r>
    </w:p>
    <w:p w14:paraId="1429BD7F">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优化实施高水平专业群建设，关键在于对专业群所在产业的发展情况进行深入分析，明确产业的关键环节和企业的核心岗位需求，精准定位人才培养目标和规格，确定建设路径。具体包括：</w:t>
      </w:r>
    </w:p>
    <w:p w14:paraId="3FE3DDA1">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u w:val="single"/>
          <w:lang w:val="en-US" w:eastAsia="zh-CN" w:bidi="ar"/>
        </w:rPr>
        <w:t>一是明确细分功能领域的企业面向。</w:t>
      </w:r>
      <w:r>
        <w:rPr>
          <w:rFonts w:ascii="宋体" w:hAnsi="宋体" w:eastAsia="宋体" w:cs="宋体"/>
          <w:color w:val="auto"/>
          <w:kern w:val="0"/>
          <w:sz w:val="27"/>
          <w:szCs w:val="27"/>
          <w:lang w:val="en-US" w:eastAsia="zh-CN" w:bidi="ar"/>
        </w:rPr>
        <w:t>产业链涵盖产品生产或服务提供的全过程，一般由上游、中游和下游组成。其中上游是整个产业的开端，掌握资源和核心技术，主要负责提供原料、基础产品或技术；中游是产业中心，主要制造核心设备和产品，相比上游，其核心技术难度相对较低；下游指处在整个产业链末端，加工原材料与零部件，制造成品和从事生产与服务的行业。细分产业功能领域有助于对接合作企业，有助于专业群人才培养充分匹配产业关键环节。</w:t>
      </w:r>
    </w:p>
    <w:p w14:paraId="2F4CEBF5">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u w:val="single"/>
          <w:lang w:val="en-US" w:eastAsia="zh-CN" w:bidi="ar"/>
        </w:rPr>
        <w:t>二是梳理代表性合作企业的岗位人才需求。</w:t>
      </w:r>
      <w:r>
        <w:rPr>
          <w:rFonts w:ascii="宋体" w:hAnsi="宋体" w:eastAsia="宋体" w:cs="宋体"/>
          <w:color w:val="auto"/>
          <w:kern w:val="0"/>
          <w:sz w:val="27"/>
          <w:szCs w:val="27"/>
          <w:lang w:val="en-US" w:eastAsia="zh-CN" w:bidi="ar"/>
        </w:rPr>
        <w:t>代表性合作企业并不是领域内的代表性企业，而是与学校合作企业中的若干代表，是能够围绕高技能人才培养为学校集聚资源的企业。梳理代表性合作企业的岗位人才需求，需要明确其所属产业链相应阶段的核心职能。</w:t>
      </w:r>
    </w:p>
    <w:p w14:paraId="47454C69">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u w:val="single"/>
          <w:lang w:val="en-US" w:eastAsia="zh-CN" w:bidi="ar"/>
        </w:rPr>
        <w:t>三是确定不同区域不同岗位的能力要求。</w:t>
      </w:r>
      <w:r>
        <w:rPr>
          <w:rFonts w:ascii="宋体" w:hAnsi="宋体" w:eastAsia="宋体" w:cs="宋体"/>
          <w:color w:val="auto"/>
          <w:kern w:val="0"/>
          <w:sz w:val="27"/>
          <w:szCs w:val="27"/>
          <w:lang w:val="en-US" w:eastAsia="zh-CN" w:bidi="ar"/>
        </w:rPr>
        <w:t>以产业链中游的技术性岗位为例，其对能力的要求主要包括对产品性能及相关技术的认知理解、深化设计并出图的能力和将不同品牌软硬件进行搭接的能力。此外，高级工程师还应具备成熟的软件开发能力，一线城市相关岗位还须具备英文使用的能力等。</w:t>
      </w:r>
    </w:p>
    <w:p w14:paraId="0C83D8E9">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Style w:val="6"/>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lang w:val="en-US" w:eastAsia="zh-CN" w:bidi="ar"/>
        </w:rPr>
        <w:t>精准对接：提高专业群建设对培养目标的达成度</w:t>
      </w:r>
    </w:p>
    <w:p w14:paraId="728FBAFE">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专业群是指统筹两个以上、具有某种共性或内在联系的专业形态。组建专业群，需要秉承“内外兼顾”的原则，即从外部需求和服务面向看，多个专业要服务于同一行业产业，或多个专业所培养的人才面向同一职业岗位群；从内部人才培养规律和教育教学资源看，多个专业所培养的人才具有相近的知识和能力要求，专业之间具有技术技能基础相近、专业基础相通的关系。基于内部和外部两方面考虑，如果发现专业之间存在共同的属性或具备内在的联系，就可以考虑组建专业群。</w:t>
      </w:r>
    </w:p>
    <w:p w14:paraId="624C4AB4">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具体而言，专业群的组建首先要调研所在区域对高技能人才需求量较大且行业发展成熟度较高的产业，针对合作的若干大中型企业开展岗位分析，梳理出适合学生就业的典型工作岗位，对工作岗位所需具备的知识、技能、素养进行解构分析，归纳出若干类岗位群，进而将学校原来的若干个专业解构重建为具有相应岗位群培养方向的专业群。</w:t>
      </w:r>
    </w:p>
    <w:p w14:paraId="6435E604">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通过将若干单体专业扩大为具有一定组织规模的专业群，群中每个岗位群方向均包含1个牵头专业和2至3个协同专业，构成了支撑该岗位群培养方向的专业组合，从而满足学生个性化成长的需求，确保专业建设的适应性、科学性和先进性，提高组织结构的制度化和规范化。</w:t>
      </w:r>
    </w:p>
    <w:p w14:paraId="46BF5693">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Style w:val="6"/>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lang w:val="en-US" w:eastAsia="zh-CN" w:bidi="ar"/>
        </w:rPr>
        <w:t>提升效益：提高专业群建设对社会发展的贡献度</w:t>
      </w:r>
    </w:p>
    <w:p w14:paraId="624B17B9">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专业群的组建与优化必然会打破现有学院、专业等组织、制度、资源的限制和约束，通过跨学院、跨专业的形式，改变现有基于工作岗位的窄口径人才培养模式，建立课程、师资、实训设备的灵活调动与配置机制，提升专业群建设的资源整合能力和动态调整能力。</w:t>
      </w:r>
    </w:p>
    <w:p w14:paraId="7C0D6A5A">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对于职业学校而言，从组织理论视角深入到微观层面管窥专业群组织管理，有助于探寻专业群建设在资源效益、人才培养、核心竞争力等方面对职业教育发展的现实意义。因此，在专业群组建过程中，要兼具灵活性和稳定性特点，考虑专业结构成本，探求专业总量、存量与增量、减量的优化方式，动态调整专业结构。一般而言，为了避免组织管理过程中出现的体制壁垒，可以通过课程模块的引入，灵活整合办学资源，提高教学资源统筹利用率，进而提升职业学校办学效益，提高专业群建设对经济社会发展的贡献度。</w:t>
      </w:r>
    </w:p>
    <w:p w14:paraId="254F589C">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要发挥专业群对学校高质量发展的重要作用，提升对产业发展、社会发展、职业教育、国际交流的贡献度，提高核心利益相关者的满意度，不仅要明确科学组群逻辑、共建共享资源、重构课程体系、实施组织变革，还要考虑专业群的组织规模、制度管理、文化建设、路径依赖等影响专业群组织管理的相关因素，回应区域经济和产业发展诉求，谋划改革发展新路径、优化教育教学资源配置、提高技术技能人才培养质量，这对于办好公平有质量、类型特色突出的职业教育具有十分重要的意义。</w:t>
      </w:r>
    </w:p>
    <w:p w14:paraId="7ED8AAD3">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color w:val="auto"/>
        </w:rPr>
      </w:pPr>
      <w:r>
        <w:rPr>
          <w:rFonts w:ascii="宋体" w:hAnsi="宋体" w:eastAsia="宋体" w:cs="宋体"/>
          <w:color w:val="auto"/>
          <w:kern w:val="0"/>
          <w:sz w:val="27"/>
          <w:szCs w:val="27"/>
          <w:lang w:val="en-US" w:eastAsia="zh-CN" w:bidi="ar"/>
        </w:rPr>
        <w:t>（作者系中国教育科学研究院职业与继续教育研究所副研究员）</w:t>
      </w:r>
    </w:p>
    <w:p w14:paraId="40235DB5">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center"/>
        <w:textAlignment w:val="auto"/>
        <w:rPr>
          <w:color w:val="auto"/>
        </w:rPr>
      </w:pPr>
      <w:r>
        <w:rPr>
          <w:rStyle w:val="6"/>
          <w:color w:val="auto"/>
          <w:sz w:val="27"/>
          <w:szCs w:val="27"/>
        </w:rPr>
        <w:t>将教学改革关键变量化为高质量发展最大增量</w:t>
      </w:r>
    </w:p>
    <w:p w14:paraId="0B6D3901">
      <w:pPr>
        <w:pStyle w:val="3"/>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center"/>
        <w:textAlignment w:val="auto"/>
        <w:rPr>
          <w:color w:val="auto"/>
        </w:rPr>
      </w:pPr>
      <w:r>
        <w:rPr>
          <w:rStyle w:val="6"/>
          <w:color w:val="auto"/>
          <w:sz w:val="27"/>
          <w:szCs w:val="27"/>
        </w:rPr>
        <w:t>霍丽娟</w:t>
      </w:r>
    </w:p>
    <w:p w14:paraId="5C3A7794">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在第二期“双高计划”建设中，高职院校要以“办学能力高水平，产教融合高质量”为目标，将学校专业内涵建设的“小逻辑”与产业发展的“大逻辑”同频共振，加快推进专业、课程、教师、教材、实习实训基地等教学关键要素换核、强芯、提质、升级，将教学改革关键变量转化为职业教育高质量发展的最大增量。</w:t>
      </w:r>
    </w:p>
    <w:p w14:paraId="6B0FCD69">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Style w:val="6"/>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lang w:val="en-US" w:eastAsia="zh-CN" w:bidi="ar"/>
        </w:rPr>
        <w:t>一、统筹布局，创新机制，引领职业院校主动对接三个布局体系。</w:t>
      </w:r>
    </w:p>
    <w:p w14:paraId="61270450">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突出宏观布局统筹推动，引领职业院校主动对接服务区域发展、支撑产业发展、助力大国外交3个职业教育布局体系，明确服务定位。明确产教联动以产定教，引导“双高计划”与“一体两翼”职业教育体系建设联动发展，推动产业规划中的链主企业、领军企业与学校合作办学、合作育人、合作就业、合作发展。强调产教融合机制创新，引导政校行企各类主体共建产教融合“大平台”，创新校企党支部联建、业务部门联动机制，实现校企双主体育人。</w:t>
      </w:r>
    </w:p>
    <w:p w14:paraId="02113163">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Style w:val="6"/>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lang w:val="en-US" w:eastAsia="zh-CN" w:bidi="ar"/>
        </w:rPr>
        <w:t>二、匹配需求，汇聚要素，推进专业群建设适应产业集群化发展。</w:t>
      </w:r>
    </w:p>
    <w:p w14:paraId="02C5CAB7">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一是引导专业组群建设。聚焦产业空间布局、功能集聚逻辑，对接生产关键环节和企业核心岗位，明确人才需求结构层次，精准定位专业群的人才培养目标和培养模式，校企共同制定人才培养方案，系统构建课程体系和实践教学体系。二是强化群内协同治理。完善专业动态调整机制，快速响应产业变革的最新要求。三是汇聚关键要素资源，推动链主企业、领军企业深度参与人才培养全过程，及时更新专业群课程、教师、教材、实习实训等教学关键环节要素，创新教学组织形式。</w:t>
      </w:r>
    </w:p>
    <w:p w14:paraId="38735596">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Style w:val="6"/>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lang w:val="en-US" w:eastAsia="zh-CN" w:bidi="ar"/>
        </w:rPr>
        <w:t>三、对接岗位，迭代资源，促进课程建设对接职业岗位能力要求。</w:t>
      </w:r>
    </w:p>
    <w:p w14:paraId="67CD0551">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一是创新课程开发机制。联合产业园区、链主企业建设课程开发中心，整合学校、企业、科研机构的专家教师资源，对接岗位标准、工序流程和典型工作任务，绘制能力图谱，制定课程开发方案。二是重构专业核心课程。将企业典型岗位操作规程纳入核心课程标准，依照工作过程和能力递升规律序化教学内容，以企业真实项目为基础，转化设计项目式教学任务。三是推动教学模式创新。以数字技术赋能课堂教学，与企业共同打造“学校教室+虚拟课堂+企业车间”等多场景教学空间，创新教学方法手段，提高课堂教学质量。</w:t>
      </w:r>
    </w:p>
    <w:p w14:paraId="30739510">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Style w:val="6"/>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lang w:val="en-US" w:eastAsia="zh-CN" w:bidi="ar"/>
        </w:rPr>
        <w:t>四、优化结构，提升能力，引领教师团队把握产业人才培养规律。</w:t>
      </w:r>
    </w:p>
    <w:p w14:paraId="39437BD6">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一是加强师资队伍建设。创新校企人员共享交流机制，吸引大国工匠、能工巧匠、技能大师、技艺传承人到校兼职任教，推动学校教师深入企业实践、参与生产运营和技术创新。二是提升教师教学能力。探索施行“教师教学档案袋”制度，引导教师记录思政素养、专业水平和教学能力成长过程，组建产教虚拟教研室，推动校企开展有组织教学改革研究与探索。三是提高教师数字素养。系统开展教师数字技术应用、数字资源开发培训，提高教师开展情境化学习、个性化学习、虚拟教研、具身交互等教学活动的能力。</w:t>
      </w:r>
    </w:p>
    <w:p w14:paraId="0470DC48">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Style w:val="6"/>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lang w:val="en-US" w:eastAsia="zh-CN" w:bidi="ar"/>
        </w:rPr>
        <w:t>五、创新机制，拓展形态，引导教材开发促进学生对产业的认知。</w:t>
      </w:r>
    </w:p>
    <w:p w14:paraId="5635A542">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一是创新教材开发机制。建立政、校、行、企、研等多主体牵头的教材开发机制，吸收行业企业领军人才、大国工匠、行业企业资深技术人员参与教材规划和编写，推动企业优质培训手册转化，同步将产业技术变化和最新课程改革成果反映在教材中。二是开发多样教材形态。开发“活页式”教材、工作手册式教材和数字教材等新形态教材，增强学生对生产场景、工艺流程的理解，加强工程思维、创新意识培养。</w:t>
      </w:r>
    </w:p>
    <w:p w14:paraId="4557DA35">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2" w:firstLineChars="200"/>
        <w:jc w:val="left"/>
        <w:textAlignment w:val="auto"/>
        <w:rPr>
          <w:rStyle w:val="6"/>
          <w:rFonts w:ascii="宋体" w:hAnsi="宋体" w:eastAsia="宋体" w:cs="宋体"/>
          <w:color w:val="auto"/>
          <w:kern w:val="0"/>
          <w:sz w:val="27"/>
          <w:szCs w:val="27"/>
          <w:lang w:val="en-US" w:eastAsia="zh-CN" w:bidi="ar"/>
        </w:rPr>
      </w:pPr>
      <w:r>
        <w:rPr>
          <w:rStyle w:val="6"/>
          <w:rFonts w:ascii="宋体" w:hAnsi="宋体" w:eastAsia="宋体" w:cs="宋体"/>
          <w:color w:val="auto"/>
          <w:kern w:val="0"/>
          <w:sz w:val="27"/>
          <w:szCs w:val="27"/>
          <w:lang w:val="en-US" w:eastAsia="zh-CN" w:bidi="ar"/>
        </w:rPr>
        <w:t>六、打造场景，开放融合，推动实习实训基地建设对应生产环境。</w:t>
      </w:r>
    </w:p>
    <w:p w14:paraId="250F4BB7">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rFonts w:ascii="宋体" w:hAnsi="宋体" w:eastAsia="宋体" w:cs="宋体"/>
          <w:color w:val="auto"/>
          <w:kern w:val="0"/>
          <w:sz w:val="27"/>
          <w:szCs w:val="27"/>
          <w:lang w:val="en-US" w:eastAsia="zh-CN" w:bidi="ar"/>
        </w:rPr>
      </w:pPr>
      <w:r>
        <w:rPr>
          <w:rFonts w:ascii="宋体" w:hAnsi="宋体" w:eastAsia="宋体" w:cs="宋体"/>
          <w:color w:val="auto"/>
          <w:kern w:val="0"/>
          <w:sz w:val="27"/>
          <w:szCs w:val="27"/>
          <w:lang w:val="en-US" w:eastAsia="zh-CN" w:bidi="ar"/>
        </w:rPr>
        <w:t>一是创新实习实训基地建设机制。整合产业园区、合作企业和学校的优质实训资源，建设开放型产教融合实践中心，创新多主体运营、成本分担和利益共享机制，促进校企、校际资源共建共享。二是加强实习实训基地建设。整合课程、教材开发团队参与实习实训项目开发，根据企业岗位技术标准、工艺要求和产品规格，开发基于真实环境的生产性实践项目，增强人才培养的岗位适应性。三是推动实习实训数字化转型。利用5G+、人工智能、大数据、数字孪生等数字技术，建设数字远程实训平台、虚拟仿真实训基地等，推动“虚实结合、即时互动”实习实训模式创新，推动企业生产一线场景及时融入实习实训，过程管理和质量评价可评可测。</w:t>
      </w:r>
    </w:p>
    <w:p w14:paraId="52A66708">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40" w:firstLineChars="200"/>
        <w:jc w:val="left"/>
        <w:textAlignment w:val="auto"/>
        <w:rPr>
          <w:color w:val="auto"/>
        </w:rPr>
      </w:pPr>
      <w:r>
        <w:rPr>
          <w:rFonts w:ascii="宋体" w:hAnsi="宋体" w:eastAsia="宋体" w:cs="宋体"/>
          <w:color w:val="auto"/>
          <w:kern w:val="0"/>
          <w:sz w:val="27"/>
          <w:szCs w:val="27"/>
          <w:lang w:val="en-US" w:eastAsia="zh-CN" w:bidi="ar"/>
        </w:rPr>
        <w:t>（作者系北京教育科学研究院职业教育研究所所长）</w:t>
      </w:r>
    </w:p>
    <w:p w14:paraId="3EE704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inorEastAsia" w:hAnsiTheme="minorEastAsia" w:eastAsiaTheme="minorEastAsia" w:cstheme="minorEastAsia"/>
          <w:i w:val="0"/>
          <w:iCs w:val="0"/>
          <w:caps w:val="0"/>
          <w:color w:val="auto"/>
          <w:spacing w:val="8"/>
          <w:sz w:val="36"/>
          <w:szCs w:val="36"/>
        </w:rPr>
      </w:pPr>
      <w:r>
        <w:rPr>
          <w:rFonts w:hint="eastAsia" w:asciiTheme="minorEastAsia" w:hAnsiTheme="minorEastAsia" w:eastAsiaTheme="minorEastAsia" w:cstheme="minorEastAsia"/>
          <w:i w:val="0"/>
          <w:iCs w:val="0"/>
          <w:caps w:val="0"/>
          <w:color w:val="auto"/>
          <w:spacing w:val="8"/>
          <w:sz w:val="36"/>
          <w:szCs w:val="36"/>
          <w:lang w:val="en-US" w:eastAsia="zh-CN"/>
        </w:rPr>
        <w:t>为教育对外开放提供支撑力贡献力</w:t>
      </w:r>
    </w:p>
    <w:p w14:paraId="7A0C5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inorEastAsia" w:hAnsiTheme="minorEastAsia" w:eastAsiaTheme="minorEastAsia" w:cstheme="minorEastAsia"/>
          <w:i w:val="0"/>
          <w:iCs w:val="0"/>
          <w:caps w:val="0"/>
          <w:color w:val="auto"/>
          <w:spacing w:val="8"/>
          <w:sz w:val="36"/>
          <w:szCs w:val="36"/>
        </w:rPr>
      </w:pPr>
      <w:r>
        <w:rPr>
          <w:rFonts w:hint="eastAsia" w:asciiTheme="minorEastAsia" w:hAnsiTheme="minorEastAsia" w:eastAsiaTheme="minorEastAsia" w:cstheme="minorEastAsia"/>
          <w:i w:val="0"/>
          <w:iCs w:val="0"/>
          <w:caps w:val="0"/>
          <w:color w:val="auto"/>
          <w:spacing w:val="8"/>
          <w:sz w:val="36"/>
          <w:szCs w:val="36"/>
          <w:lang w:val="en-US" w:eastAsia="zh-CN"/>
        </w:rPr>
        <w:t>杨光</w:t>
      </w:r>
    </w:p>
    <w:p w14:paraId="55293CE8">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纵观我国职业教育发展，职业教育国际交流合作已从高质量“引进来”步入高水平“走出去”阶段，成为教育对外开放的新增长点和新赛道。第二期“双高计划”作为加快建设教育强国开局阶段的关键行动之一，在建设中要把“拓展国际交流与合作”作为改革任务，把“推动教育对外开放布局”作为工作重点，把“推动教育对外开放的支撑力和贡献力”作为评价建设成效的重要指标。</w:t>
      </w:r>
    </w:p>
    <w:p w14:paraId="35A1AD1E">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首期“双高计划”实施以来，各地各校积极探索服务中资企业“走出去”路径，涌现出一批获得国际认可的海外办学项目和机构。第二期“双高计划”建设，应着力构建规范有序的国际合作办学品牌项目，在提升项目质量上狠下功夫。为此需要明确新目标新方向，从以下几个方向发力。</w:t>
      </w:r>
    </w:p>
    <w:p w14:paraId="72A8E069">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一是加强统筹，整体协同推进。增强教育、外交、发改、财政、商务等部委的工作合力，给予政策和资金支持。各地建立协同机制，集聚政行企校资源，统筹人员、资金、设备，根据区域产业和地理优势，有效利用海外厂区、经贸园区、援建校区，“一省一策”多元发展、实质运行，建设一批特色鲜明、水平较高、服务当地企业海外发展需要的办学项目。行业组织搭建交流平台，发布海外人才需求清单，整合行业优势资源，牵头组织学校抱团随企出海。同时，加强与国际组织合作实施职业教育项目，发挥好世界职业技术教育发展联盟等的作用。</w:t>
      </w:r>
    </w:p>
    <w:p w14:paraId="1A72E3AF">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二是建章立制，引导规范有序。从办学项目（机构）设立、教学资源建设、办学质量评价等关键环节入手，研制出台职业教育境外办学规范性文件。通过对项目的审批和备案，全面精准掌握分区域、分国别、分类型项目建设情况，适时调控引导优化项目布局。建立海外办学年度报告制度，全面评价职业院校办学能力和质量。</w:t>
      </w:r>
    </w:p>
    <w:p w14:paraId="3063C3CA">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三是有的放矢，明确布局重点。以东盟、中亚为先行区，带动非洲及其他共建“一带一路”国家，根据外交战略和国际形势，针对不同区域和国家职业教育发展阶段、水平和对外合作需求的不同，差异化确定布局策略。根据国家重大战略布局，围绕国际产能合作和民心工程，精准服务我国产业境外投资面向，研究确定事关国计民生和国家安全的行业布局重点。</w:t>
      </w:r>
    </w:p>
    <w:p w14:paraId="043EEE9C">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对于高职院校来说，则要根据办学定位、特色和优势，摸清国内供应方和国外需求方，找准契合自身发展的服务面向，做好做实以下工作。</w:t>
      </w:r>
    </w:p>
    <w:p w14:paraId="0891DB3A">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一是纳入学校整体发展规划。职业院校要从战略规划、资源调配、项目实施、质量保障等多个方面，对留学生培养和海外职业教育培训项目进行系统设计和整体推进。要将项目作为学校发展的重要组成部分，纳入学校年度工作要点和中长期规划。应设立专门的国际化管理部门，统筹协调推进项目建设。应设立专项经费，保障项目开发、人员交流、师资培训、课程开发、设施建设等。</w:t>
      </w:r>
    </w:p>
    <w:p w14:paraId="06DB1679">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二是积极服务国际产能合作。职业院校要紧跟国家和区域重点产业经济发展，立足服务“走出去”中资企业，教随产出、校企同行。在海外项目建设前期，围绕企业实际需求，结合合作国法律法规、双边关系、区域社会稳定性，充分论证项目可行性、必要性、可持续性，科学组建设置专业群，为企业定制培训计划、教学资源、人才培养方案，融入海外产业园区发展。</w:t>
      </w:r>
    </w:p>
    <w:p w14:paraId="1CFD7F9F">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三是加强国际化师资队伍建设。职业院校要提供资源和政策，引进或支持校内教师参与国际培训、学术交流和合作项目建设，打造一支兼具扎实学识、国际化视野和跨文化交流能力的师资队伍，为培养“懂汉语、通文化、精技能”的本土化专业技能人才筑牢基础，助力产教融合国际化走深走实。</w:t>
      </w:r>
    </w:p>
    <w:p w14:paraId="57460C3D">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四是稳妥审慎推进项目建设。职业院校在与国外企业和学校合作开展职业教育境外办学时，要合理控制办学成本和风险，以“先培训后学历”为策略、以“培训项目—二级学院—独立学院（大学）”为路径稳妥审慎发展。注重贡献中国职业教育制度样板，主动研究和准确把握产业标准、行业标准、技术标准、产品标准，提炼转化并推动技能标准、培训标准、课程标准“走出去”。</w:t>
      </w:r>
    </w:p>
    <w:p w14:paraId="5A8A1C07">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五是高水平打造数字化教学资源。职业院校要利用好数字技术优势，对接合作国产业需求，开发符合国际标准的数字化课程体系，建设模块化、多语种的课程资源，融入中国特色的职业教育理念和技能。鼓励教师利用国家职业教育智慧教育平台等开展教学，建立“培训包”进行远程教学和培训，开发线上精品课程，实现优质资源共享和个性化学习。</w:t>
      </w:r>
      <w:bookmarkStart w:id="0" w:name="_GoBack"/>
      <w:bookmarkEnd w:id="0"/>
    </w:p>
    <w:p w14:paraId="3C528BBB">
      <w:pPr>
        <w:keepNext w:val="0"/>
        <w:keepLines w:val="0"/>
        <w:pageBreakBefore w:val="0"/>
        <w:widowControl/>
        <w:suppressLineNumbers w:val="0"/>
        <w:kinsoku/>
        <w:wordWrap/>
        <w:overflowPunct/>
        <w:topLinePunct w:val="0"/>
        <w:autoSpaceDE/>
        <w:autoSpaceDN/>
        <w:bidi w:val="0"/>
        <w:adjustRightInd/>
        <w:snapToGrid/>
        <w:spacing w:beforeAutospacing="0" w:line="560" w:lineRule="exact"/>
        <w:ind w:firstLine="560" w:firstLineChars="200"/>
        <w:jc w:val="right"/>
        <w:textAlignment w:val="auto"/>
        <w:rPr>
          <w:rFonts w:hint="default"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来源：职教圈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915D4"/>
    <w:rsid w:val="001113BD"/>
    <w:rsid w:val="05B87EA0"/>
    <w:rsid w:val="07D57174"/>
    <w:rsid w:val="20E57FD0"/>
    <w:rsid w:val="2A4915D4"/>
    <w:rsid w:val="2B463EAC"/>
    <w:rsid w:val="473C009B"/>
    <w:rsid w:val="5AA955EF"/>
    <w:rsid w:val="603E6C4F"/>
    <w:rsid w:val="6D920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6960</Words>
  <Characters>6974</Characters>
  <Lines>0</Lines>
  <Paragraphs>0</Paragraphs>
  <TotalTime>5</TotalTime>
  <ScaleCrop>false</ScaleCrop>
  <LinksUpToDate>false</LinksUpToDate>
  <CharactersWithSpaces>6974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2025-03-12T02:11:00Z</dcterms:created>
  <dc:creator>ZYP</dc:creator>
  <cp:lastModifiedBy>ZYP</cp:lastModifiedBy>
  <dcterms:modified xsi:type="dcterms:W3CDTF">2025-03-12T07:19:46Z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4CC4EB18FAD340BA87ECEB42ABE554F8_11</vt:lpwstr>
  </property>
  <property fmtid="{D5CDD505-2E9C-101B-9397-08002B2CF9AE}" pid="4" name="KSOTemplateDocerSaveRecord">
    <vt:lpwstr>eyJoZGlkIjoiNGM4MTczNzA3YzFmNjIzMTFiMTlkZTcwZDRkNzFiMDUiLCJ1c2VySWQiOiIyNjgxODIwMDkifQ==</vt:lpwstr>
  </property>
</Properties>
</file>